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D" w:rsidRPr="00094A5B" w:rsidRDefault="001324A4" w:rsidP="002F565D">
      <w:pPr>
        <w:pStyle w:val="Tytu"/>
        <w:rPr>
          <w:rFonts w:asciiTheme="minorHAnsi" w:hAnsiTheme="minorHAnsi"/>
          <w:sz w:val="36"/>
          <w:szCs w:val="36"/>
          <w:lang w:val="pl-PL"/>
        </w:rPr>
      </w:pPr>
      <w:r w:rsidRPr="00094A5B">
        <w:rPr>
          <w:rFonts w:asciiTheme="minorHAnsi" w:hAnsiTheme="minorHAnsi"/>
          <w:sz w:val="36"/>
          <w:szCs w:val="36"/>
          <w:lang w:val="pl-PL"/>
        </w:rPr>
        <w:t>Informacje na temat polityki</w:t>
      </w:r>
      <w:r w:rsidR="000A2E82" w:rsidRPr="00094A5B">
        <w:rPr>
          <w:rFonts w:asciiTheme="minorHAnsi" w:hAnsiTheme="minorHAnsi"/>
          <w:sz w:val="36"/>
          <w:szCs w:val="36"/>
          <w:lang w:val="pl-PL"/>
        </w:rPr>
        <w:t xml:space="preserve"> </w:t>
      </w:r>
      <w:r w:rsidRPr="00094A5B">
        <w:rPr>
          <w:rFonts w:asciiTheme="minorHAnsi" w:hAnsiTheme="minorHAnsi"/>
          <w:sz w:val="36"/>
          <w:szCs w:val="36"/>
          <w:lang w:val="pl-PL"/>
        </w:rPr>
        <w:t>–</w:t>
      </w:r>
      <w:r w:rsidR="000A2E82" w:rsidRPr="00094A5B">
        <w:rPr>
          <w:rFonts w:asciiTheme="minorHAnsi" w:hAnsiTheme="minorHAnsi"/>
          <w:sz w:val="36"/>
          <w:szCs w:val="36"/>
          <w:lang w:val="pl-PL"/>
        </w:rPr>
        <w:t xml:space="preserve"> </w:t>
      </w:r>
      <w:r w:rsidRPr="00094A5B">
        <w:rPr>
          <w:rFonts w:asciiTheme="minorHAnsi" w:hAnsiTheme="minorHAnsi"/>
          <w:sz w:val="36"/>
          <w:szCs w:val="36"/>
          <w:lang w:val="pl-PL"/>
        </w:rPr>
        <w:t xml:space="preserve">Projekt </w:t>
      </w:r>
      <w:r w:rsidR="00C76907" w:rsidRPr="00094A5B">
        <w:rPr>
          <w:rFonts w:asciiTheme="minorHAnsi" w:hAnsiTheme="minorHAnsi"/>
          <w:sz w:val="36"/>
          <w:szCs w:val="36"/>
          <w:lang w:val="pl-PL"/>
        </w:rPr>
        <w:t>Helpcare</w:t>
      </w:r>
      <w:r w:rsidR="000A2E82" w:rsidRPr="00094A5B">
        <w:rPr>
          <w:rFonts w:asciiTheme="minorHAnsi" w:hAnsiTheme="minorHAnsi"/>
          <w:sz w:val="36"/>
          <w:szCs w:val="36"/>
          <w:lang w:val="pl-PL"/>
        </w:rPr>
        <w:t xml:space="preserve">: </w:t>
      </w:r>
      <w:r w:rsidRPr="00094A5B">
        <w:rPr>
          <w:rFonts w:asciiTheme="minorHAnsi" w:hAnsiTheme="minorHAnsi"/>
          <w:sz w:val="36"/>
          <w:szCs w:val="36"/>
          <w:lang w:val="pl-PL"/>
        </w:rPr>
        <w:t>W dążeniu do profesjonalizacji pracowników (opieki) w Unii Europejskiej</w:t>
      </w:r>
    </w:p>
    <w:p w:rsidR="001F00F9" w:rsidRPr="00094A5B" w:rsidRDefault="00CD23A3" w:rsidP="001F00F9">
      <w:pPr>
        <w:pStyle w:val="Nagwek1"/>
        <w:rPr>
          <w:rFonts w:asciiTheme="minorHAnsi" w:hAnsiTheme="minorHAnsi"/>
          <w:sz w:val="24"/>
          <w:szCs w:val="24"/>
          <w:lang w:val="pl-PL"/>
        </w:rPr>
      </w:pPr>
      <w:r w:rsidRPr="00094A5B">
        <w:rPr>
          <w:rFonts w:asciiTheme="minorHAnsi" w:hAnsiTheme="minorHAnsi"/>
          <w:sz w:val="24"/>
          <w:szCs w:val="24"/>
          <w:lang w:val="pl-PL"/>
        </w:rPr>
        <w:t>Informacje ogólne na temat</w:t>
      </w:r>
      <w:r w:rsidR="00864305" w:rsidRPr="00094A5B">
        <w:rPr>
          <w:rFonts w:asciiTheme="minorHAnsi" w:hAnsiTheme="minorHAnsi"/>
          <w:sz w:val="24"/>
          <w:szCs w:val="24"/>
          <w:lang w:val="pl-PL"/>
        </w:rPr>
        <w:t xml:space="preserve"> projektu</w:t>
      </w:r>
    </w:p>
    <w:p w:rsidR="00864305" w:rsidRDefault="00864305" w:rsidP="00B46F13">
      <w:pPr>
        <w:spacing w:after="0"/>
        <w:jc w:val="both"/>
        <w:rPr>
          <w:lang w:val="pl-PL"/>
        </w:rPr>
      </w:pPr>
      <w:r w:rsidRPr="00094A5B">
        <w:rPr>
          <w:lang w:val="pl-PL"/>
        </w:rPr>
        <w:t>Projekt Helpcare</w:t>
      </w:r>
      <w:r w:rsidR="00B46F13" w:rsidRPr="00094A5B">
        <w:rPr>
          <w:lang w:val="pl-PL"/>
        </w:rPr>
        <w:t>,</w:t>
      </w:r>
      <w:r w:rsidRPr="00094A5B">
        <w:rPr>
          <w:lang w:val="pl-PL"/>
        </w:rPr>
        <w:t xml:space="preserve"> finansowany ze środków programu Unii Europejskiej</w:t>
      </w:r>
      <w:r w:rsidR="00B46F13" w:rsidRPr="00094A5B">
        <w:rPr>
          <w:lang w:val="pl-PL"/>
        </w:rPr>
        <w:t xml:space="preserve"> Erasmus+, realizowany </w:t>
      </w:r>
      <w:r w:rsidR="00F70ACD" w:rsidRPr="00094A5B">
        <w:rPr>
          <w:lang w:val="pl-PL"/>
        </w:rPr>
        <w:t>był</w:t>
      </w:r>
      <w:r w:rsidR="00B46F13" w:rsidRPr="00094A5B">
        <w:rPr>
          <w:lang w:val="pl-PL"/>
        </w:rPr>
        <w:t xml:space="preserve"> w Wielkiej Brytanii, Grecji, Włoszech, Bułgarii i Polsce, a jego </w:t>
      </w:r>
      <w:r w:rsidR="00F3725F" w:rsidRPr="00094A5B">
        <w:rPr>
          <w:lang w:val="pl-PL"/>
        </w:rPr>
        <w:t>zakończenie zaplanowane</w:t>
      </w:r>
      <w:r w:rsidR="00B46F13" w:rsidRPr="00094A5B">
        <w:rPr>
          <w:lang w:val="pl-PL"/>
        </w:rPr>
        <w:t xml:space="preserve"> jest na sierpień 2017 roku. </w:t>
      </w:r>
      <w:r w:rsidR="00C3476C" w:rsidRPr="00094A5B">
        <w:rPr>
          <w:lang w:val="pl-PL"/>
        </w:rPr>
        <w:t>N</w:t>
      </w:r>
      <w:r w:rsidR="000E1020" w:rsidRPr="00094A5B">
        <w:rPr>
          <w:lang w:val="pl-PL"/>
        </w:rPr>
        <w:t>ajważniejsze ustaleni</w:t>
      </w:r>
      <w:r w:rsidR="00674574" w:rsidRPr="00094A5B">
        <w:rPr>
          <w:lang w:val="pl-PL"/>
        </w:rPr>
        <w:t xml:space="preserve">a </w:t>
      </w:r>
      <w:r w:rsidR="00C3476C" w:rsidRPr="00094A5B">
        <w:rPr>
          <w:lang w:val="pl-PL"/>
        </w:rPr>
        <w:t xml:space="preserve">w ramach projektu </w:t>
      </w:r>
      <w:r w:rsidR="00324D25" w:rsidRPr="00094A5B">
        <w:rPr>
          <w:lang w:val="pl-PL"/>
        </w:rPr>
        <w:t xml:space="preserve">są </w:t>
      </w:r>
      <w:r w:rsidR="00674574" w:rsidRPr="00094A5B">
        <w:rPr>
          <w:lang w:val="pl-PL"/>
        </w:rPr>
        <w:t>następujące: pracownicy opieki częs</w:t>
      </w:r>
      <w:r w:rsidR="00FC6175" w:rsidRPr="00094A5B">
        <w:rPr>
          <w:lang w:val="pl-PL"/>
        </w:rPr>
        <w:t>to</w:t>
      </w:r>
      <w:r w:rsidR="00452C91" w:rsidRPr="00094A5B">
        <w:rPr>
          <w:lang w:val="pl-PL"/>
        </w:rPr>
        <w:t xml:space="preserve"> nie mają dostępu do szkoleń, co</w:t>
      </w:r>
      <w:r w:rsidR="00FC6175" w:rsidRPr="00094A5B">
        <w:rPr>
          <w:lang w:val="pl-PL"/>
        </w:rPr>
        <w:t xml:space="preserve"> </w:t>
      </w:r>
      <w:r w:rsidR="00085B24" w:rsidRPr="00094A5B">
        <w:rPr>
          <w:lang w:val="pl-PL"/>
        </w:rPr>
        <w:t>przekłada się na</w:t>
      </w:r>
      <w:r w:rsidR="001B17B6" w:rsidRPr="00094A5B">
        <w:rPr>
          <w:lang w:val="pl-PL"/>
        </w:rPr>
        <w:t xml:space="preserve"> </w:t>
      </w:r>
      <w:r w:rsidR="00085B24" w:rsidRPr="00094A5B">
        <w:rPr>
          <w:lang w:val="pl-PL"/>
        </w:rPr>
        <w:t>znaczne</w:t>
      </w:r>
      <w:r w:rsidR="00674574" w:rsidRPr="00094A5B">
        <w:rPr>
          <w:lang w:val="pl-PL"/>
        </w:rPr>
        <w:t xml:space="preserve"> braki szkoleniowe, </w:t>
      </w:r>
      <w:r w:rsidR="00CB1EF6" w:rsidRPr="00094A5B">
        <w:rPr>
          <w:lang w:val="pl-PL"/>
        </w:rPr>
        <w:t xml:space="preserve">czego dowodem jest </w:t>
      </w:r>
      <w:r w:rsidR="00AF182D" w:rsidRPr="00094A5B">
        <w:rPr>
          <w:lang w:val="pl-PL"/>
        </w:rPr>
        <w:t xml:space="preserve">ponad </w:t>
      </w:r>
      <w:r w:rsidR="00674574" w:rsidRPr="00094A5B">
        <w:rPr>
          <w:lang w:val="pl-PL"/>
        </w:rPr>
        <w:t xml:space="preserve">400 zidentyfikowanych potrzeb szkoleniowych; </w:t>
      </w:r>
      <w:r w:rsidR="00AB0C3B" w:rsidRPr="00094A5B">
        <w:rPr>
          <w:lang w:val="pl-PL"/>
        </w:rPr>
        <w:t>pracownicy ci mają niskie poczucie własnej wartości</w:t>
      </w:r>
      <w:r w:rsidR="00DC4A1E" w:rsidRPr="00094A5B">
        <w:rPr>
          <w:lang w:val="pl-PL"/>
        </w:rPr>
        <w:t xml:space="preserve">, a </w:t>
      </w:r>
      <w:r w:rsidR="003752B6" w:rsidRPr="00094A5B">
        <w:rPr>
          <w:lang w:val="pl-PL"/>
        </w:rPr>
        <w:t xml:space="preserve">liczba przypadków </w:t>
      </w:r>
      <w:r w:rsidR="00DC4A1E" w:rsidRPr="00094A5B">
        <w:rPr>
          <w:lang w:val="pl-PL"/>
        </w:rPr>
        <w:t>wypalenia zawodowego jest w tej grupie wysoka</w:t>
      </w:r>
      <w:r w:rsidR="003752B6" w:rsidRPr="00094A5B">
        <w:rPr>
          <w:lang w:val="pl-PL"/>
        </w:rPr>
        <w:t xml:space="preserve">, szczególnie w sytuacjach, gdy praca na pełen etat i opieka postrzegane są jako ścieżki zawodowe </w:t>
      </w:r>
      <w:r w:rsidR="00086BB8" w:rsidRPr="00094A5B">
        <w:rPr>
          <w:lang w:val="pl-PL"/>
        </w:rPr>
        <w:t xml:space="preserve">wybierane tylko w ostateczności. </w:t>
      </w:r>
      <w:r w:rsidR="009961C2" w:rsidRPr="00094A5B">
        <w:rPr>
          <w:lang w:val="pl-PL"/>
        </w:rPr>
        <w:t>W niektórych sytuacjach, przed rozpoczęciem pracy zawodowej opiekunowie nie przechodzą żadnego szkolenia bądź szkoleni są jedynie w niewielkim zakresie, co jest szczególnie częste w przypadku nieformalnych opiekunów fun</w:t>
      </w:r>
      <w:r w:rsidR="00B410CA">
        <w:rPr>
          <w:lang w:val="pl-PL"/>
        </w:rPr>
        <w:t>kcjonujących w szarej strefie w Polsce czy we</w:t>
      </w:r>
      <w:r w:rsidR="009961C2" w:rsidRPr="00094A5B">
        <w:rPr>
          <w:lang w:val="pl-PL"/>
        </w:rPr>
        <w:t xml:space="preserve"> Włoszech oraz osób opiekujących się członkami rodziny. Zidentyfikowano t</w:t>
      </w:r>
      <w:r w:rsidR="00C750A4">
        <w:rPr>
          <w:lang w:val="pl-PL"/>
        </w:rPr>
        <w:t>eż</w:t>
      </w:r>
      <w:r w:rsidR="009961C2" w:rsidRPr="00094A5B">
        <w:rPr>
          <w:lang w:val="pl-PL"/>
        </w:rPr>
        <w:t xml:space="preserve"> przykłady najlepszych praktyk we wszystkich krajach, jednakże nie są one rozpowszechniane bądź stanowią rezultaty krótkotrwałych interwencji lub projektów pilotażowych, które dobiegają końca lub </w:t>
      </w:r>
      <w:r w:rsidR="00E222AE" w:rsidRPr="00094A5B">
        <w:rPr>
          <w:lang w:val="pl-PL"/>
        </w:rPr>
        <w:t xml:space="preserve">mają jedynie charakter rekomendacji, a nie obowiązkowych rozwiązań, przez co nie są powszechnie wdrażane. </w:t>
      </w:r>
    </w:p>
    <w:p w:rsidR="00C3106E" w:rsidRDefault="00C3106E" w:rsidP="00B46F13">
      <w:pPr>
        <w:spacing w:after="0"/>
        <w:jc w:val="both"/>
        <w:rPr>
          <w:lang w:val="pl-PL"/>
        </w:rPr>
      </w:pPr>
    </w:p>
    <w:p w:rsidR="007C5B28" w:rsidRDefault="00C3106E" w:rsidP="00B5095F">
      <w:pPr>
        <w:jc w:val="both"/>
        <w:rPr>
          <w:bCs/>
          <w:lang w:val="pl-PL"/>
        </w:rPr>
      </w:pPr>
      <w:r>
        <w:rPr>
          <w:lang w:val="pl-PL"/>
        </w:rPr>
        <w:t xml:space="preserve">W Polsce 14,2% populacji stanowią osoby powyżej 65 roku życia. W skali kraju, udział tej grupy wiekowej w poszczególnych województwach jest zróżnicowany, przy czym najwięcej osób powyżej 60+ zamieszkuje województwa świętokrzyskie, śląskie, dolnośląskie i łódzkie. </w:t>
      </w:r>
      <w:r w:rsidRPr="00C3106E">
        <w:rPr>
          <w:bCs/>
          <w:lang w:val="pl-PL"/>
        </w:rPr>
        <w:t>Odsetek ludności w wieku 60 lat i więcej w populacji miasta Łodzi w 2015r. wynosił 46,1%.</w:t>
      </w:r>
      <w:r>
        <w:rPr>
          <w:bCs/>
          <w:lang w:val="pl-PL"/>
        </w:rPr>
        <w:t xml:space="preserve"> Na 100 osób w wieku przedprodukcyjnym, przypadało 180,7 osób w wieku poprodukcyjnym</w:t>
      </w:r>
      <w:r w:rsidR="007C5B28">
        <w:rPr>
          <w:bCs/>
          <w:lang w:val="pl-PL"/>
        </w:rPr>
        <w:t xml:space="preserve"> [Źródło: GUS]</w:t>
      </w:r>
      <w:r>
        <w:rPr>
          <w:bCs/>
          <w:lang w:val="pl-PL"/>
        </w:rPr>
        <w:t xml:space="preserve">. </w:t>
      </w:r>
      <w:r w:rsidR="00B5095F">
        <w:rPr>
          <w:lang w:val="pl-PL"/>
        </w:rPr>
        <w:t>W 2016 r. na terenie miasta</w:t>
      </w:r>
      <w:r w:rsidR="004E4C8F" w:rsidRPr="00B5095F">
        <w:rPr>
          <w:lang w:val="pl-PL"/>
        </w:rPr>
        <w:t xml:space="preserve"> funkcjonowało 12 (z 15)  domów pomocy społecznej o różnym profilu dla osób starych w tym:</w:t>
      </w:r>
      <w:r w:rsidR="00B5095F">
        <w:rPr>
          <w:bCs/>
          <w:lang w:val="pl-PL"/>
        </w:rPr>
        <w:t xml:space="preserve"> </w:t>
      </w:r>
      <w:r w:rsidR="004E4C8F" w:rsidRPr="00B5095F">
        <w:rPr>
          <w:lang w:val="pl-PL"/>
        </w:rPr>
        <w:t>11 domów prowadzonych przez Miasto Łódź-MOPS</w:t>
      </w:r>
      <w:r w:rsidR="00B5095F">
        <w:rPr>
          <w:bCs/>
          <w:lang w:val="pl-PL"/>
        </w:rPr>
        <w:t xml:space="preserve"> i </w:t>
      </w:r>
      <w:r w:rsidR="004E4C8F" w:rsidRPr="00B5095F">
        <w:rPr>
          <w:lang w:val="pl-PL"/>
        </w:rPr>
        <w:t>1 dom prowadzony na zlecenia miasta przez podmiot niepubliczny</w:t>
      </w:r>
      <w:r w:rsidR="00B5095F">
        <w:rPr>
          <w:lang w:val="pl-PL"/>
        </w:rPr>
        <w:t>. Znalazło w nich miejsce</w:t>
      </w:r>
      <w:r w:rsidR="00B5095F" w:rsidRPr="00B5095F">
        <w:rPr>
          <w:lang w:val="pl-PL"/>
        </w:rPr>
        <w:t xml:space="preserve"> </w:t>
      </w:r>
      <w:r w:rsidR="00B5095F" w:rsidRPr="00B5095F">
        <w:rPr>
          <w:bCs/>
          <w:lang w:val="pl-PL"/>
        </w:rPr>
        <w:t>1759 osób (</w:t>
      </w:r>
      <w:r w:rsidR="004E4C8F" w:rsidRPr="00B5095F">
        <w:rPr>
          <w:bCs/>
          <w:lang w:val="pl-PL"/>
        </w:rPr>
        <w:t>DPS publiczny</w:t>
      </w:r>
      <w:r w:rsidR="007C5B28">
        <w:rPr>
          <w:bCs/>
          <w:lang w:val="pl-PL"/>
        </w:rPr>
        <w:t>:</w:t>
      </w:r>
      <w:r w:rsidR="004E4C8F" w:rsidRPr="00B5095F">
        <w:rPr>
          <w:bCs/>
          <w:lang w:val="pl-PL"/>
        </w:rPr>
        <w:t xml:space="preserve">  1643 miejsc</w:t>
      </w:r>
      <w:r w:rsidR="00B5095F" w:rsidRPr="00B5095F">
        <w:rPr>
          <w:bCs/>
          <w:lang w:val="pl-PL"/>
        </w:rPr>
        <w:t>,</w:t>
      </w:r>
      <w:r w:rsidR="00B5095F" w:rsidRPr="00B5095F">
        <w:rPr>
          <w:lang w:val="pl-PL"/>
        </w:rPr>
        <w:t xml:space="preserve"> </w:t>
      </w:r>
      <w:r w:rsidR="004E4C8F" w:rsidRPr="00B5095F">
        <w:rPr>
          <w:bCs/>
          <w:lang w:val="pl-PL"/>
        </w:rPr>
        <w:t>DPS niepubliczny</w:t>
      </w:r>
      <w:r w:rsidR="007C5B28">
        <w:rPr>
          <w:bCs/>
          <w:lang w:val="pl-PL"/>
        </w:rPr>
        <w:t>:</w:t>
      </w:r>
      <w:r w:rsidR="004E4C8F" w:rsidRPr="00B5095F">
        <w:rPr>
          <w:bCs/>
          <w:lang w:val="pl-PL"/>
        </w:rPr>
        <w:t xml:space="preserve"> 116 miejsc</w:t>
      </w:r>
      <w:r w:rsidR="00B5095F" w:rsidRPr="00B5095F">
        <w:rPr>
          <w:bCs/>
          <w:lang w:val="pl-PL"/>
        </w:rPr>
        <w:t xml:space="preserve"> - wg stanu na dzień 31.12.2016 r.), przy czym l</w:t>
      </w:r>
      <w:r w:rsidR="004E4C8F" w:rsidRPr="00B5095F">
        <w:rPr>
          <w:bCs/>
          <w:lang w:val="pl-PL"/>
        </w:rPr>
        <w:t>iczba oczekujących na</w:t>
      </w:r>
      <w:r w:rsidR="00B5095F" w:rsidRPr="00B5095F">
        <w:rPr>
          <w:bCs/>
          <w:lang w:val="pl-PL"/>
        </w:rPr>
        <w:t xml:space="preserve"> miejsce w DPS w 2016r. </w:t>
      </w:r>
      <w:r w:rsidR="007C5B28">
        <w:rPr>
          <w:bCs/>
          <w:lang w:val="pl-PL"/>
        </w:rPr>
        <w:t xml:space="preserve">wynosiła </w:t>
      </w:r>
      <w:r w:rsidR="00B5095F" w:rsidRPr="00B5095F">
        <w:rPr>
          <w:bCs/>
          <w:lang w:val="pl-PL"/>
        </w:rPr>
        <w:t xml:space="preserve">łącznie </w:t>
      </w:r>
      <w:r w:rsidR="004E4C8F" w:rsidRPr="00B5095F">
        <w:rPr>
          <w:bCs/>
          <w:lang w:val="pl-PL"/>
        </w:rPr>
        <w:t>780 osób</w:t>
      </w:r>
      <w:r w:rsidR="00B5095F" w:rsidRPr="00B5095F">
        <w:rPr>
          <w:bCs/>
          <w:lang w:val="pl-PL"/>
        </w:rPr>
        <w:t>.</w:t>
      </w:r>
      <w:r w:rsidR="00B5095F">
        <w:rPr>
          <w:bCs/>
          <w:lang w:val="pl-PL"/>
        </w:rPr>
        <w:t xml:space="preserve"> </w:t>
      </w:r>
    </w:p>
    <w:p w:rsidR="00C3106E" w:rsidRPr="007C5B28" w:rsidRDefault="00B5095F" w:rsidP="007C5B28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Nawet te statystyki, nie uwzględniające </w:t>
      </w:r>
      <w:r w:rsidR="007C5B28">
        <w:rPr>
          <w:bCs/>
          <w:lang w:val="pl-PL"/>
        </w:rPr>
        <w:t xml:space="preserve">osób objętych nieformalną opieką w domu, wskazują iż temat opieki nad osobami starszymi w Polsce musi uzyskać status priorytetu, a podejmowane działania powinny mieć charakter systemowy, oparty o gruntowaną analizę sytuacji i rozwiązania podejmowane w krajach UE. Założenie to jest podstawą projektu </w:t>
      </w:r>
      <w:proofErr w:type="spellStart"/>
      <w:r w:rsidR="007C5B28">
        <w:rPr>
          <w:bCs/>
          <w:lang w:val="pl-PL"/>
        </w:rPr>
        <w:t>HelpCare</w:t>
      </w:r>
      <w:proofErr w:type="spellEnd"/>
      <w:r w:rsidR="007C5B28">
        <w:rPr>
          <w:bCs/>
          <w:lang w:val="pl-PL"/>
        </w:rPr>
        <w:t xml:space="preserve">.  </w:t>
      </w:r>
    </w:p>
    <w:p w:rsidR="002F565D" w:rsidRPr="00094A5B" w:rsidRDefault="000923C6" w:rsidP="001F00F9">
      <w:pPr>
        <w:pStyle w:val="Nagwek1"/>
        <w:spacing w:line="240" w:lineRule="auto"/>
        <w:rPr>
          <w:rFonts w:asciiTheme="minorHAnsi" w:hAnsiTheme="minorHAnsi"/>
          <w:sz w:val="24"/>
          <w:szCs w:val="24"/>
          <w:lang w:val="pl-PL"/>
        </w:rPr>
      </w:pPr>
      <w:r w:rsidRPr="00094A5B">
        <w:rPr>
          <w:rFonts w:asciiTheme="minorHAnsi" w:hAnsiTheme="minorHAnsi"/>
          <w:sz w:val="24"/>
          <w:szCs w:val="24"/>
          <w:lang w:val="pl-PL"/>
        </w:rPr>
        <w:t>Kluczowe ustalenia</w:t>
      </w:r>
    </w:p>
    <w:p w:rsidR="000923C6" w:rsidRPr="00094A5B" w:rsidRDefault="000923C6" w:rsidP="007E0A8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 xml:space="preserve">Pracownicy opieki, szczególnie ci zatrudnieni na pełen etat, </w:t>
      </w:r>
      <w:r w:rsidR="00B410CA">
        <w:rPr>
          <w:lang w:val="pl-PL"/>
        </w:rPr>
        <w:t xml:space="preserve">odczuwają wysoki poziom stresu, </w:t>
      </w:r>
      <w:r w:rsidRPr="00094A5B">
        <w:rPr>
          <w:lang w:val="pl-PL"/>
        </w:rPr>
        <w:t xml:space="preserve">co często idzie w parze z niską samooceną. </w:t>
      </w:r>
    </w:p>
    <w:p w:rsidR="007E0A8F" w:rsidRPr="00094A5B" w:rsidRDefault="005D68BE" w:rsidP="008A2B8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>Pracownicy</w:t>
      </w:r>
      <w:r w:rsidR="007E0A8F" w:rsidRPr="00094A5B">
        <w:rPr>
          <w:lang w:val="pl-PL"/>
        </w:rPr>
        <w:t xml:space="preserve"> opieki </w:t>
      </w:r>
      <w:r w:rsidR="00983519">
        <w:rPr>
          <w:lang w:val="pl-PL"/>
        </w:rPr>
        <w:t xml:space="preserve">często </w:t>
      </w:r>
      <w:r w:rsidR="00C83948">
        <w:rPr>
          <w:lang w:val="pl-PL"/>
        </w:rPr>
        <w:t>ma</w:t>
      </w:r>
      <w:r>
        <w:rPr>
          <w:lang w:val="pl-PL"/>
        </w:rPr>
        <w:t>ją</w:t>
      </w:r>
      <w:r w:rsidR="00900ED5" w:rsidRPr="00094A5B">
        <w:rPr>
          <w:lang w:val="pl-PL"/>
        </w:rPr>
        <w:t xml:space="preserve"> poczucie, że nie są wystarczająco przeszkoleni pod kątem wymogów </w:t>
      </w:r>
      <w:r w:rsidR="009B29DC">
        <w:rPr>
          <w:lang w:val="pl-PL"/>
        </w:rPr>
        <w:t xml:space="preserve">swojego </w:t>
      </w:r>
      <w:r w:rsidR="009F209C">
        <w:rPr>
          <w:lang w:val="pl-PL"/>
        </w:rPr>
        <w:t>zawodu</w:t>
      </w:r>
      <w:r w:rsidR="00900ED5" w:rsidRPr="00094A5B">
        <w:rPr>
          <w:lang w:val="pl-PL"/>
        </w:rPr>
        <w:t xml:space="preserve">, </w:t>
      </w:r>
      <w:r w:rsidR="003041FC">
        <w:rPr>
          <w:lang w:val="pl-PL"/>
        </w:rPr>
        <w:t>w związku z czym</w:t>
      </w:r>
      <w:r w:rsidR="00900ED5" w:rsidRPr="00094A5B">
        <w:rPr>
          <w:lang w:val="pl-PL"/>
        </w:rPr>
        <w:t xml:space="preserve"> określili szereg potrzeb szkoleniowych, które do</w:t>
      </w:r>
      <w:r w:rsidR="007E74F2">
        <w:rPr>
          <w:lang w:val="pl-PL"/>
        </w:rPr>
        <w:t xml:space="preserve"> tej pory nie były </w:t>
      </w:r>
      <w:r w:rsidR="00900ED5" w:rsidRPr="00094A5B">
        <w:rPr>
          <w:lang w:val="pl-PL"/>
        </w:rPr>
        <w:t>zaspok</w:t>
      </w:r>
      <w:r w:rsidR="00EC4BCC">
        <w:rPr>
          <w:lang w:val="pl-PL"/>
        </w:rPr>
        <w:t>a</w:t>
      </w:r>
      <w:r w:rsidR="00900ED5" w:rsidRPr="00094A5B">
        <w:rPr>
          <w:lang w:val="pl-PL"/>
        </w:rPr>
        <w:t>j</w:t>
      </w:r>
      <w:r w:rsidR="00EC4BCC">
        <w:rPr>
          <w:lang w:val="pl-PL"/>
        </w:rPr>
        <w:t>a</w:t>
      </w:r>
      <w:r w:rsidR="00900ED5" w:rsidRPr="00094A5B">
        <w:rPr>
          <w:lang w:val="pl-PL"/>
        </w:rPr>
        <w:t xml:space="preserve">ne. </w:t>
      </w:r>
    </w:p>
    <w:p w:rsidR="008A2B86" w:rsidRPr="00094A5B" w:rsidRDefault="00155132" w:rsidP="008A2B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>Znacząca mniejszość pracowników opieki czuje się niedoceniona przez społeczeństwo, a czasem także przez osoby, którymi się opiekują, lub ich rodziny.</w:t>
      </w:r>
    </w:p>
    <w:p w:rsidR="00184217" w:rsidRPr="00094A5B" w:rsidRDefault="00184217" w:rsidP="008A2B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>Pracownicy opieki</w:t>
      </w:r>
      <w:r w:rsidR="00732443" w:rsidRPr="00094A5B">
        <w:rPr>
          <w:lang w:val="pl-PL"/>
        </w:rPr>
        <w:t xml:space="preserve"> chcący się rozwijać w tej dziedzinie nie wiedzą, w jaki sposób nabyć potrzebne umiejętności lub wiedzę</w:t>
      </w:r>
      <w:r w:rsidR="006F59CB">
        <w:rPr>
          <w:lang w:val="pl-PL"/>
        </w:rPr>
        <w:t>,</w:t>
      </w:r>
      <w:r w:rsidR="00732443" w:rsidRPr="00094A5B">
        <w:rPr>
          <w:lang w:val="pl-PL"/>
        </w:rPr>
        <w:t xml:space="preserve"> i nie widzą możliwości awansu na stanowisko kierownicze. </w:t>
      </w:r>
    </w:p>
    <w:p w:rsidR="001B32E9" w:rsidRPr="00094A5B" w:rsidRDefault="001B32E9" w:rsidP="008A2B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>Pracownicy opieki mają poczucie, że</w:t>
      </w:r>
      <w:r w:rsidR="006821CE">
        <w:rPr>
          <w:lang w:val="pl-PL"/>
        </w:rPr>
        <w:t xml:space="preserve"> ich rola</w:t>
      </w:r>
      <w:r w:rsidR="00B410CA">
        <w:rPr>
          <w:lang w:val="pl-PL"/>
        </w:rPr>
        <w:t xml:space="preserve"> jest niedoceniana</w:t>
      </w:r>
      <w:r w:rsidR="006821CE">
        <w:rPr>
          <w:lang w:val="pl-PL"/>
        </w:rPr>
        <w:t xml:space="preserve"> </w:t>
      </w:r>
      <w:r w:rsidRPr="00094A5B">
        <w:rPr>
          <w:lang w:val="pl-PL"/>
        </w:rPr>
        <w:t xml:space="preserve">przez państwo oraz że państwo niewiele robi, by wesprzeć ich działalność zawodową. </w:t>
      </w:r>
    </w:p>
    <w:p w:rsidR="00BE01D3" w:rsidRPr="00094A5B" w:rsidRDefault="00BE01D3" w:rsidP="008A2B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 xml:space="preserve">Pracownicy opieki </w:t>
      </w:r>
      <w:r w:rsidR="0063103B">
        <w:rPr>
          <w:lang w:val="pl-PL"/>
        </w:rPr>
        <w:t>uznali</w:t>
      </w:r>
      <w:r w:rsidRPr="00094A5B">
        <w:rPr>
          <w:lang w:val="pl-PL"/>
        </w:rPr>
        <w:t xml:space="preserve"> </w:t>
      </w:r>
      <w:r w:rsidR="00B410CA">
        <w:rPr>
          <w:lang w:val="pl-PL"/>
        </w:rPr>
        <w:t xml:space="preserve">umiejętności miękkie za </w:t>
      </w:r>
      <w:r w:rsidR="00892076" w:rsidRPr="00094A5B">
        <w:rPr>
          <w:lang w:val="pl-PL"/>
        </w:rPr>
        <w:t xml:space="preserve">kluczowe </w:t>
      </w:r>
      <w:r w:rsidR="00B410CA">
        <w:rPr>
          <w:lang w:val="pl-PL"/>
        </w:rPr>
        <w:t>w</w:t>
      </w:r>
      <w:r w:rsidR="00892076" w:rsidRPr="00094A5B">
        <w:rPr>
          <w:lang w:val="pl-PL"/>
        </w:rPr>
        <w:t xml:space="preserve"> </w:t>
      </w:r>
      <w:r w:rsidR="004C0105">
        <w:rPr>
          <w:lang w:val="pl-PL"/>
        </w:rPr>
        <w:t>ich pracy</w:t>
      </w:r>
      <w:r w:rsidR="00892076" w:rsidRPr="00094A5B">
        <w:rPr>
          <w:lang w:val="pl-PL"/>
        </w:rPr>
        <w:t xml:space="preserve">. </w:t>
      </w:r>
    </w:p>
    <w:p w:rsidR="00EA4B72" w:rsidRPr="00094A5B" w:rsidRDefault="000C0963" w:rsidP="000C096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>Urzędnicy odpowiedzialni za opiekę zwrócili uwagę</w:t>
      </w:r>
      <w:r w:rsidR="00B410CA">
        <w:rPr>
          <w:lang w:val="pl-PL"/>
        </w:rPr>
        <w:t>, że</w:t>
      </w:r>
      <w:r w:rsidRPr="00094A5B">
        <w:rPr>
          <w:lang w:val="pl-PL"/>
        </w:rPr>
        <w:t xml:space="preserve"> brak integracji opieki zdrowotnej i socjalnej jako istotną przeszkodę dla postępu</w:t>
      </w:r>
      <w:r w:rsidR="00B410CA">
        <w:rPr>
          <w:lang w:val="pl-PL"/>
        </w:rPr>
        <w:t xml:space="preserve"> i rozwoju w tym obszarze</w:t>
      </w:r>
      <w:r w:rsidRPr="00094A5B">
        <w:rPr>
          <w:lang w:val="pl-PL"/>
        </w:rPr>
        <w:t>.</w:t>
      </w:r>
    </w:p>
    <w:p w:rsidR="000C0963" w:rsidRPr="007C5B28" w:rsidRDefault="000C0963" w:rsidP="00AB072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 xml:space="preserve">Opieka nad </w:t>
      </w:r>
      <w:r w:rsidR="00F94578" w:rsidRPr="00094A5B">
        <w:rPr>
          <w:lang w:val="pl-PL"/>
        </w:rPr>
        <w:t xml:space="preserve">osobami dorosłymi wymagającymi opieki nie jest </w:t>
      </w:r>
      <w:r w:rsidR="00343B61" w:rsidRPr="00094A5B">
        <w:rPr>
          <w:lang w:val="pl-PL"/>
        </w:rPr>
        <w:t>jednoznacznie uregulowana, jak na przykład opieka nad niemowlętami i małymi dziećmi.</w:t>
      </w:r>
    </w:p>
    <w:p w:rsidR="00D11E4A" w:rsidRPr="00094A5B" w:rsidRDefault="00B96BBD" w:rsidP="000C0963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Przyjęcie wielu</w:t>
      </w:r>
      <w:r w:rsidR="00D11E4A" w:rsidRPr="00094A5B">
        <w:rPr>
          <w:lang w:val="pl-PL"/>
        </w:rPr>
        <w:t xml:space="preserve"> inicjatyw mających na celu poprawę standardów opieki jest dla podmiotów zajmujących się opieką dobrowolne, w związku z czym nie są one wdrażane. </w:t>
      </w:r>
    </w:p>
    <w:p w:rsidR="00D11E4A" w:rsidRPr="00094A5B" w:rsidRDefault="00401B89" w:rsidP="000C096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 xml:space="preserve">Znaczna część płatnej opieki w Europie </w:t>
      </w:r>
      <w:r w:rsidR="00B5436D">
        <w:rPr>
          <w:lang w:val="pl-PL"/>
        </w:rPr>
        <w:t>P</w:t>
      </w:r>
      <w:r w:rsidRPr="00094A5B">
        <w:rPr>
          <w:lang w:val="pl-PL"/>
        </w:rPr>
        <w:t>ołudniowej funkcjonuje w szarej strefie.</w:t>
      </w:r>
    </w:p>
    <w:p w:rsidR="000273B8" w:rsidRPr="00094A5B" w:rsidRDefault="000273B8" w:rsidP="000C0963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094A5B">
        <w:rPr>
          <w:lang w:val="pl-PL"/>
        </w:rPr>
        <w:t>Koszt opieki stanowi znaczący problem we wszystkich krajach UE, a finansowan</w:t>
      </w:r>
      <w:r w:rsidR="00373978">
        <w:rPr>
          <w:lang w:val="pl-PL"/>
        </w:rPr>
        <w:t>ia opieki nie można rozpatrywać bez uwzględniania</w:t>
      </w:r>
      <w:r w:rsidR="00CC34B4">
        <w:rPr>
          <w:lang w:val="pl-PL"/>
        </w:rPr>
        <w:t xml:space="preserve"> takich</w:t>
      </w:r>
      <w:r w:rsidRPr="00094A5B">
        <w:rPr>
          <w:lang w:val="pl-PL"/>
        </w:rPr>
        <w:t xml:space="preserve"> kwestii jak rekrutacja, utrzymanie pracowników, </w:t>
      </w:r>
      <w:r w:rsidR="00FE1584">
        <w:rPr>
          <w:lang w:val="pl-PL"/>
        </w:rPr>
        <w:t xml:space="preserve">ich </w:t>
      </w:r>
      <w:r w:rsidRPr="00094A5B">
        <w:rPr>
          <w:lang w:val="pl-PL"/>
        </w:rPr>
        <w:t xml:space="preserve">rozwój i profesjonalizacja. </w:t>
      </w:r>
    </w:p>
    <w:p w:rsidR="002B75FC" w:rsidRPr="00094A5B" w:rsidRDefault="00A814A3" w:rsidP="002B75FC">
      <w:pPr>
        <w:pStyle w:val="Nagwek1"/>
        <w:rPr>
          <w:rFonts w:asciiTheme="minorHAnsi" w:hAnsiTheme="minorHAnsi"/>
          <w:sz w:val="24"/>
          <w:szCs w:val="24"/>
          <w:lang w:val="pl-PL"/>
        </w:rPr>
      </w:pPr>
      <w:r w:rsidRPr="00094A5B">
        <w:rPr>
          <w:rFonts w:asciiTheme="minorHAnsi" w:hAnsiTheme="minorHAnsi"/>
          <w:sz w:val="24"/>
          <w:szCs w:val="24"/>
          <w:lang w:val="pl-PL"/>
        </w:rPr>
        <w:t>Najważniejsze sugestie i zalecenia w ramach polityki</w:t>
      </w:r>
      <w:r w:rsidR="004D27E8" w:rsidRPr="00094A5B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A814A3" w:rsidRPr="00094A5B" w:rsidRDefault="00A814A3" w:rsidP="00A814A3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 xml:space="preserve">Szkolenie pracowników opieki należy sformalizować, z uwzględnieniem walidacji kwalifikacji na poziomie krajowym lub </w:t>
      </w:r>
      <w:r w:rsidR="004039FB">
        <w:rPr>
          <w:sz w:val="22"/>
          <w:szCs w:val="22"/>
          <w:lang w:val="pl-PL"/>
        </w:rPr>
        <w:t>unijnym</w:t>
      </w:r>
      <w:r w:rsidR="00F44F92">
        <w:rPr>
          <w:sz w:val="22"/>
          <w:szCs w:val="22"/>
          <w:lang w:val="pl-PL"/>
        </w:rPr>
        <w:t>,</w:t>
      </w:r>
      <w:r w:rsidRPr="00094A5B">
        <w:rPr>
          <w:sz w:val="22"/>
          <w:szCs w:val="22"/>
          <w:lang w:val="pl-PL"/>
        </w:rPr>
        <w:t xml:space="preserve"> </w:t>
      </w:r>
      <w:r w:rsidR="00AB2A11">
        <w:rPr>
          <w:sz w:val="22"/>
          <w:szCs w:val="22"/>
          <w:lang w:val="pl-PL"/>
        </w:rPr>
        <w:t xml:space="preserve">przy </w:t>
      </w:r>
      <w:r w:rsidRPr="00094A5B">
        <w:rPr>
          <w:sz w:val="22"/>
          <w:szCs w:val="22"/>
          <w:lang w:val="pl-PL"/>
        </w:rPr>
        <w:t>z</w:t>
      </w:r>
      <w:r w:rsidR="00AB2A11">
        <w:rPr>
          <w:sz w:val="22"/>
          <w:szCs w:val="22"/>
          <w:lang w:val="pl-PL"/>
        </w:rPr>
        <w:t>akresie</w:t>
      </w:r>
      <w:r w:rsidRPr="00094A5B">
        <w:rPr>
          <w:sz w:val="22"/>
          <w:szCs w:val="22"/>
          <w:lang w:val="pl-PL"/>
        </w:rPr>
        <w:t xml:space="preserve"> kwalifikacji od poziomu 1 (po</w:t>
      </w:r>
      <w:r w:rsidR="00055297">
        <w:rPr>
          <w:sz w:val="22"/>
          <w:szCs w:val="22"/>
          <w:lang w:val="pl-PL"/>
        </w:rPr>
        <w:t>dstawowego</w:t>
      </w:r>
      <w:r w:rsidRPr="00094A5B">
        <w:rPr>
          <w:sz w:val="22"/>
          <w:szCs w:val="22"/>
          <w:lang w:val="pl-PL"/>
        </w:rPr>
        <w:t>) do poziomu 6 (poziomu wykształcenia wyższego</w:t>
      </w:r>
      <w:r w:rsidR="00B410CA">
        <w:rPr>
          <w:sz w:val="22"/>
          <w:szCs w:val="22"/>
          <w:lang w:val="pl-PL"/>
        </w:rPr>
        <w:t>/specjalistycznego</w:t>
      </w:r>
      <w:r w:rsidRPr="00094A5B">
        <w:rPr>
          <w:sz w:val="22"/>
          <w:szCs w:val="22"/>
          <w:lang w:val="pl-PL"/>
        </w:rPr>
        <w:t xml:space="preserve">). </w:t>
      </w:r>
    </w:p>
    <w:p w:rsidR="00A814A3" w:rsidRPr="00094A5B" w:rsidRDefault="00A814A3" w:rsidP="00A814A3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Należy zwiększyć</w:t>
      </w:r>
      <w:r w:rsidR="007B2E35" w:rsidRPr="00094A5B">
        <w:rPr>
          <w:sz w:val="22"/>
          <w:szCs w:val="22"/>
          <w:lang w:val="pl-PL"/>
        </w:rPr>
        <w:t xml:space="preserve"> skuteczność kontroli, szczególnie w zakresie opieki domowej; musi ona także kłaść większy nacisk na szkolenie i rozwój, utrzymanie pracowników i zarządzanie opieką zgodnie ze standardami opieki.</w:t>
      </w:r>
    </w:p>
    <w:p w:rsidR="007B2E35" w:rsidRPr="00094A5B" w:rsidRDefault="00752CA2" w:rsidP="00A814A3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Wszystkie usługi w zakresie profesjonalnej opieki powinny być rejestrowane (po</w:t>
      </w:r>
      <w:r w:rsidR="00E01778" w:rsidRPr="00094A5B">
        <w:rPr>
          <w:sz w:val="22"/>
          <w:szCs w:val="22"/>
          <w:lang w:val="pl-PL"/>
        </w:rPr>
        <w:t>dobnie jak w przypadku statusu uprawnionej opiekunki</w:t>
      </w:r>
      <w:r w:rsidRPr="00094A5B">
        <w:rPr>
          <w:sz w:val="22"/>
          <w:szCs w:val="22"/>
          <w:lang w:val="pl-PL"/>
        </w:rPr>
        <w:t xml:space="preserve"> </w:t>
      </w:r>
      <w:r w:rsidR="00B410CA">
        <w:rPr>
          <w:sz w:val="22"/>
          <w:szCs w:val="22"/>
          <w:lang w:val="pl-PL"/>
        </w:rPr>
        <w:t>dla</w:t>
      </w:r>
      <w:r w:rsidR="003F1206">
        <w:rPr>
          <w:sz w:val="22"/>
          <w:szCs w:val="22"/>
          <w:lang w:val="pl-PL"/>
        </w:rPr>
        <w:t xml:space="preserve"> </w:t>
      </w:r>
      <w:r w:rsidR="00C460A0" w:rsidRPr="00094A5B">
        <w:rPr>
          <w:sz w:val="22"/>
          <w:szCs w:val="22"/>
          <w:lang w:val="pl-PL"/>
        </w:rPr>
        <w:t xml:space="preserve">dzieci </w:t>
      </w:r>
      <w:r w:rsidRPr="00094A5B">
        <w:rPr>
          <w:sz w:val="22"/>
          <w:szCs w:val="22"/>
          <w:lang w:val="pl-PL"/>
        </w:rPr>
        <w:t>w Wielkiej Brytanii), a warunkiem rejestracji pow</w:t>
      </w:r>
      <w:r w:rsidR="00784251" w:rsidRPr="00094A5B">
        <w:rPr>
          <w:sz w:val="22"/>
          <w:szCs w:val="22"/>
          <w:lang w:val="pl-PL"/>
        </w:rPr>
        <w:t>inna być dokładna kontrola, czy dana osoba była karana, jak również nabycie p</w:t>
      </w:r>
      <w:r w:rsidR="00120365">
        <w:rPr>
          <w:sz w:val="22"/>
          <w:szCs w:val="22"/>
          <w:lang w:val="pl-PL"/>
        </w:rPr>
        <w:t>ierwszego</w:t>
      </w:r>
      <w:r w:rsidR="00784251" w:rsidRPr="00094A5B">
        <w:rPr>
          <w:sz w:val="22"/>
          <w:szCs w:val="22"/>
          <w:lang w:val="pl-PL"/>
        </w:rPr>
        <w:t xml:space="preserve"> poziomu kwalifikacji w zakresie opieki podstawowej w ciągu roku od rejestracji. </w:t>
      </w:r>
    </w:p>
    <w:p w:rsidR="00784251" w:rsidRPr="00094A5B" w:rsidRDefault="00EF5C72" w:rsidP="00A814A3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 xml:space="preserve">Konieczne jest wprowadzenie kwalifikacji w zakresie opieki na poziomie kształcenia wyższego, odpowiadających </w:t>
      </w:r>
      <w:r w:rsidR="00F8678C" w:rsidRPr="00094A5B">
        <w:rPr>
          <w:sz w:val="22"/>
          <w:szCs w:val="22"/>
          <w:lang w:val="pl-PL"/>
        </w:rPr>
        <w:t>brytyjskiemu statusowi młodych specjalistów</w:t>
      </w:r>
      <w:r w:rsidR="003D269F" w:rsidRPr="00094A5B">
        <w:rPr>
          <w:sz w:val="22"/>
          <w:szCs w:val="22"/>
          <w:lang w:val="pl-PL"/>
        </w:rPr>
        <w:t>:</w:t>
      </w:r>
    </w:p>
    <w:p w:rsidR="00130CA2" w:rsidRPr="00094A5B" w:rsidRDefault="002A0AAC" w:rsidP="00DE203C">
      <w:pPr>
        <w:pStyle w:val="Default"/>
        <w:numPr>
          <w:ilvl w:val="1"/>
          <w:numId w:val="2"/>
        </w:numPr>
        <w:ind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powinno to się wiązać</w:t>
      </w:r>
      <w:r w:rsidR="00DE203C" w:rsidRPr="00094A5B">
        <w:rPr>
          <w:sz w:val="22"/>
          <w:szCs w:val="22"/>
          <w:lang w:val="pl-PL"/>
        </w:rPr>
        <w:t xml:space="preserve"> z wymogiem, by </w:t>
      </w:r>
      <w:r w:rsidR="00AA7510">
        <w:rPr>
          <w:sz w:val="22"/>
          <w:szCs w:val="22"/>
          <w:lang w:val="pl-PL"/>
        </w:rPr>
        <w:t>podmioty zajmujące</w:t>
      </w:r>
      <w:r w:rsidR="00AA7510" w:rsidRPr="00AA7510">
        <w:rPr>
          <w:sz w:val="22"/>
          <w:szCs w:val="22"/>
          <w:lang w:val="pl-PL"/>
        </w:rPr>
        <w:t xml:space="preserve"> się opieką </w:t>
      </w:r>
      <w:r w:rsidR="00DE203C" w:rsidRPr="00094A5B">
        <w:rPr>
          <w:sz w:val="22"/>
          <w:szCs w:val="22"/>
          <w:lang w:val="pl-PL"/>
        </w:rPr>
        <w:t>zatrudniające więcej niż cztery osoby posiadały co najmniej jednego specjalistę z wykształceniem wyższym</w:t>
      </w:r>
      <w:r w:rsidR="002E3BF6" w:rsidRPr="00094A5B">
        <w:rPr>
          <w:rStyle w:val="Odwoanieprzypisudolnego"/>
          <w:sz w:val="22"/>
          <w:szCs w:val="22"/>
          <w:lang w:val="pl-PL"/>
        </w:rPr>
        <w:footnoteReference w:id="1"/>
      </w:r>
      <w:r w:rsidR="00A74316">
        <w:rPr>
          <w:sz w:val="22"/>
          <w:szCs w:val="22"/>
          <w:lang w:val="pl-PL"/>
        </w:rPr>
        <w:t>.</w:t>
      </w:r>
    </w:p>
    <w:p w:rsidR="00DE203C" w:rsidRPr="00094A5B" w:rsidRDefault="00DE203C" w:rsidP="00DE203C">
      <w:pPr>
        <w:pStyle w:val="Default"/>
        <w:numPr>
          <w:ilvl w:val="0"/>
          <w:numId w:val="2"/>
        </w:numPr>
        <w:ind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Dla opiekunów specjalistycznych (</w:t>
      </w:r>
      <w:r w:rsidR="005B5E6D">
        <w:rPr>
          <w:sz w:val="22"/>
          <w:szCs w:val="22"/>
          <w:lang w:val="pl-PL"/>
        </w:rPr>
        <w:t>zajmujących się osobami</w:t>
      </w:r>
      <w:r w:rsidRPr="00094A5B">
        <w:rPr>
          <w:sz w:val="22"/>
          <w:szCs w:val="22"/>
          <w:lang w:val="pl-PL"/>
        </w:rPr>
        <w:t xml:space="preserve"> po udarze, z demencją itp.) powinno być dostępne szkolenie na poziomach 2 i </w:t>
      </w:r>
      <w:r w:rsidR="0073134D">
        <w:rPr>
          <w:sz w:val="22"/>
          <w:szCs w:val="22"/>
          <w:lang w:val="pl-PL"/>
        </w:rPr>
        <w:t>3;</w:t>
      </w:r>
      <w:r w:rsidRPr="00094A5B">
        <w:rPr>
          <w:sz w:val="22"/>
          <w:szCs w:val="22"/>
          <w:lang w:val="pl-PL"/>
        </w:rPr>
        <w:t xml:space="preserve"> </w:t>
      </w:r>
      <w:r w:rsidR="00424248">
        <w:rPr>
          <w:sz w:val="22"/>
          <w:szCs w:val="22"/>
          <w:lang w:val="pl-PL"/>
        </w:rPr>
        <w:t xml:space="preserve">powinien im także przysługiwać </w:t>
      </w:r>
      <w:r w:rsidRPr="00094A5B">
        <w:rPr>
          <w:sz w:val="22"/>
          <w:szCs w:val="22"/>
          <w:lang w:val="pl-PL"/>
        </w:rPr>
        <w:t xml:space="preserve">dodatek </w:t>
      </w:r>
      <w:r w:rsidR="004C0312" w:rsidRPr="00094A5B">
        <w:rPr>
          <w:sz w:val="22"/>
          <w:szCs w:val="22"/>
          <w:lang w:val="pl-PL"/>
        </w:rPr>
        <w:t xml:space="preserve">do pensji. </w:t>
      </w:r>
    </w:p>
    <w:p w:rsidR="004C0312" w:rsidRPr="00094A5B" w:rsidRDefault="004C0312" w:rsidP="00DE203C">
      <w:pPr>
        <w:pStyle w:val="Default"/>
        <w:numPr>
          <w:ilvl w:val="0"/>
          <w:numId w:val="2"/>
        </w:numPr>
        <w:ind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lastRenderedPageBreak/>
        <w:t>W</w:t>
      </w:r>
      <w:r w:rsidR="00281805">
        <w:rPr>
          <w:sz w:val="22"/>
          <w:szCs w:val="22"/>
          <w:lang w:val="pl-PL"/>
        </w:rPr>
        <w:t>e wszystkich</w:t>
      </w:r>
      <w:r w:rsidRPr="00094A5B">
        <w:rPr>
          <w:sz w:val="22"/>
          <w:szCs w:val="22"/>
          <w:lang w:val="pl-PL"/>
        </w:rPr>
        <w:t xml:space="preserve"> </w:t>
      </w:r>
      <w:r w:rsidR="00281805">
        <w:rPr>
          <w:sz w:val="22"/>
          <w:szCs w:val="22"/>
          <w:lang w:val="pl-PL"/>
        </w:rPr>
        <w:t>podmiotach zajmujących</w:t>
      </w:r>
      <w:r w:rsidR="00527969" w:rsidRPr="00527969">
        <w:rPr>
          <w:sz w:val="22"/>
          <w:szCs w:val="22"/>
          <w:lang w:val="pl-PL"/>
        </w:rPr>
        <w:t xml:space="preserve"> się opieką </w:t>
      </w:r>
      <w:r w:rsidRPr="00094A5B">
        <w:rPr>
          <w:sz w:val="22"/>
          <w:szCs w:val="22"/>
          <w:lang w:val="pl-PL"/>
        </w:rPr>
        <w:t xml:space="preserve">powinny </w:t>
      </w:r>
      <w:r w:rsidR="00281805">
        <w:rPr>
          <w:sz w:val="22"/>
          <w:szCs w:val="22"/>
          <w:lang w:val="pl-PL"/>
        </w:rPr>
        <w:t xml:space="preserve">zostać </w:t>
      </w:r>
      <w:r w:rsidRPr="00094A5B">
        <w:rPr>
          <w:sz w:val="22"/>
          <w:szCs w:val="22"/>
          <w:lang w:val="pl-PL"/>
        </w:rPr>
        <w:t xml:space="preserve">wyznaczone osoby odpowiedzialne </w:t>
      </w:r>
      <w:r w:rsidR="003368D6">
        <w:rPr>
          <w:sz w:val="22"/>
          <w:szCs w:val="22"/>
          <w:lang w:val="pl-PL"/>
        </w:rPr>
        <w:t>za szkolenie i rozwój personelu; należy także wprowadzić</w:t>
      </w:r>
      <w:r w:rsidRPr="00094A5B">
        <w:rPr>
          <w:sz w:val="22"/>
          <w:szCs w:val="22"/>
          <w:lang w:val="pl-PL"/>
        </w:rPr>
        <w:t xml:space="preserve"> program</w:t>
      </w:r>
      <w:r w:rsidR="003368D6">
        <w:rPr>
          <w:sz w:val="22"/>
          <w:szCs w:val="22"/>
          <w:lang w:val="pl-PL"/>
        </w:rPr>
        <w:t>y</w:t>
      </w:r>
      <w:r w:rsidRPr="00094A5B">
        <w:rPr>
          <w:sz w:val="22"/>
          <w:szCs w:val="22"/>
          <w:lang w:val="pl-PL"/>
        </w:rPr>
        <w:t xml:space="preserve"> </w:t>
      </w:r>
      <w:r w:rsidR="00DA213F" w:rsidRPr="00094A5B">
        <w:rPr>
          <w:sz w:val="22"/>
          <w:szCs w:val="22"/>
          <w:lang w:val="pl-PL"/>
        </w:rPr>
        <w:t>doskonalenia zawodowego</w:t>
      </w:r>
      <w:r w:rsidR="00CA7D86">
        <w:rPr>
          <w:sz w:val="22"/>
          <w:szCs w:val="22"/>
          <w:lang w:val="pl-PL"/>
        </w:rPr>
        <w:t xml:space="preserve"> realizowane</w:t>
      </w:r>
      <w:r w:rsidR="00F31DA2" w:rsidRPr="00094A5B">
        <w:rPr>
          <w:sz w:val="22"/>
          <w:szCs w:val="22"/>
          <w:lang w:val="pl-PL"/>
        </w:rPr>
        <w:t xml:space="preserve"> przez pracowników w godzinach pracy. </w:t>
      </w:r>
    </w:p>
    <w:p w:rsidR="00F31DA2" w:rsidRPr="00094A5B" w:rsidRDefault="0060527B" w:rsidP="00DE203C">
      <w:pPr>
        <w:pStyle w:val="Default"/>
        <w:numPr>
          <w:ilvl w:val="0"/>
          <w:numId w:val="2"/>
        </w:numPr>
        <w:ind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W całej UE należy zająć się kwestią</w:t>
      </w:r>
      <w:r w:rsidR="00F31DA2" w:rsidRPr="00094A5B">
        <w:rPr>
          <w:sz w:val="22"/>
          <w:szCs w:val="22"/>
          <w:lang w:val="pl-PL"/>
        </w:rPr>
        <w:t xml:space="preserve"> </w:t>
      </w:r>
      <w:r w:rsidRPr="00094A5B">
        <w:rPr>
          <w:sz w:val="22"/>
          <w:szCs w:val="22"/>
          <w:lang w:val="pl-PL"/>
        </w:rPr>
        <w:t xml:space="preserve">imigrantów pracujących </w:t>
      </w:r>
      <w:r w:rsidR="003D5747">
        <w:rPr>
          <w:sz w:val="22"/>
          <w:szCs w:val="22"/>
          <w:lang w:val="pl-PL"/>
        </w:rPr>
        <w:t>w charakterze opiekunów</w:t>
      </w:r>
      <w:r w:rsidR="008F54BF">
        <w:rPr>
          <w:sz w:val="22"/>
          <w:szCs w:val="22"/>
          <w:lang w:val="pl-PL"/>
        </w:rPr>
        <w:t>.</w:t>
      </w:r>
      <w:r w:rsidR="006A5E23" w:rsidRPr="00094A5B">
        <w:rPr>
          <w:sz w:val="22"/>
          <w:szCs w:val="22"/>
          <w:lang w:val="pl-PL"/>
        </w:rPr>
        <w:t xml:space="preserve"> </w:t>
      </w:r>
      <w:r w:rsidR="008F54BF">
        <w:rPr>
          <w:sz w:val="22"/>
          <w:szCs w:val="22"/>
          <w:lang w:val="pl-PL"/>
        </w:rPr>
        <w:t>W</w:t>
      </w:r>
      <w:r w:rsidR="003D5747">
        <w:rPr>
          <w:sz w:val="22"/>
          <w:szCs w:val="22"/>
          <w:lang w:val="pl-PL"/>
        </w:rPr>
        <w:t> </w:t>
      </w:r>
      <w:r w:rsidR="006A5E23" w:rsidRPr="00094A5B">
        <w:rPr>
          <w:sz w:val="22"/>
          <w:szCs w:val="22"/>
          <w:lang w:val="pl-PL"/>
        </w:rPr>
        <w:t xml:space="preserve">niektórych krajach istnieją przesłanki wskazujące na nowoczesne niewolnictwo, a w innych występują problemy strukturalne. </w:t>
      </w:r>
    </w:p>
    <w:p w:rsidR="006A5E23" w:rsidRPr="00094A5B" w:rsidRDefault="006A5E23" w:rsidP="006A5E23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Szkolenie i rozwój powinny skupiać się na umiejętnościach miękkich, współczuciu, godności i etycznych praktykach, jak również istotnych umiejętno</w:t>
      </w:r>
      <w:r w:rsidR="00B410CA">
        <w:rPr>
          <w:sz w:val="22"/>
          <w:szCs w:val="22"/>
          <w:lang w:val="pl-PL"/>
        </w:rPr>
        <w:t>ściach technicznych, takich jak</w:t>
      </w:r>
      <w:r w:rsidR="00797350" w:rsidRPr="00094A5B">
        <w:rPr>
          <w:sz w:val="22"/>
          <w:szCs w:val="22"/>
          <w:lang w:val="pl-PL"/>
        </w:rPr>
        <w:t xml:space="preserve"> </w:t>
      </w:r>
      <w:r w:rsidR="00045BD5" w:rsidRPr="00094A5B">
        <w:rPr>
          <w:sz w:val="22"/>
          <w:szCs w:val="22"/>
          <w:lang w:val="pl-PL"/>
        </w:rPr>
        <w:t>opieka na osobami po udarze</w:t>
      </w:r>
      <w:r w:rsidR="00797350" w:rsidRPr="00094A5B">
        <w:rPr>
          <w:sz w:val="22"/>
          <w:szCs w:val="22"/>
          <w:lang w:val="pl-PL"/>
        </w:rPr>
        <w:t xml:space="preserve">, </w:t>
      </w:r>
      <w:r w:rsidR="00045BD5" w:rsidRPr="00094A5B">
        <w:rPr>
          <w:sz w:val="22"/>
          <w:szCs w:val="22"/>
          <w:lang w:val="pl-PL"/>
        </w:rPr>
        <w:t>z demencją, cukrzycą</w:t>
      </w:r>
      <w:r w:rsidR="00797350" w:rsidRPr="00094A5B">
        <w:rPr>
          <w:sz w:val="22"/>
          <w:szCs w:val="22"/>
          <w:lang w:val="pl-PL"/>
        </w:rPr>
        <w:t xml:space="preserve"> itp.</w:t>
      </w:r>
    </w:p>
    <w:p w:rsidR="007931F0" w:rsidRPr="00094A5B" w:rsidRDefault="007931F0" w:rsidP="006A5E23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 xml:space="preserve">Powinna istnieć sformalizowana procedura </w:t>
      </w:r>
      <w:r w:rsidR="00F37200">
        <w:rPr>
          <w:sz w:val="22"/>
          <w:szCs w:val="22"/>
          <w:lang w:val="pl-PL"/>
        </w:rPr>
        <w:t>zgłaszania nieprawidłowości.</w:t>
      </w:r>
      <w:r w:rsidR="00A11AD2" w:rsidRPr="00094A5B">
        <w:rPr>
          <w:sz w:val="22"/>
          <w:szCs w:val="22"/>
          <w:lang w:val="pl-PL"/>
        </w:rPr>
        <w:t xml:space="preserve"> </w:t>
      </w:r>
      <w:r w:rsidR="00F37200">
        <w:rPr>
          <w:sz w:val="22"/>
          <w:szCs w:val="22"/>
          <w:lang w:val="pl-PL"/>
        </w:rPr>
        <w:t>O</w:t>
      </w:r>
      <w:r w:rsidR="00A11AD2" w:rsidRPr="00094A5B">
        <w:rPr>
          <w:sz w:val="22"/>
          <w:szCs w:val="22"/>
          <w:lang w:val="pl-PL"/>
        </w:rPr>
        <w:t xml:space="preserve">piekunowie boją się zgłaszać nadużycia, gdyż obawiają się utraty pracy w przypadku złożenia skargi. </w:t>
      </w:r>
    </w:p>
    <w:p w:rsidR="00A11AD2" w:rsidRPr="007C5B28" w:rsidRDefault="006F0607" w:rsidP="007C5B28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Pr="00094A5B">
        <w:rPr>
          <w:sz w:val="22"/>
          <w:szCs w:val="22"/>
          <w:lang w:val="pl-PL"/>
        </w:rPr>
        <w:t xml:space="preserve">ależy analizować i wdrażać na szerszą skalę w całej UE </w:t>
      </w:r>
      <w:r>
        <w:rPr>
          <w:sz w:val="22"/>
          <w:szCs w:val="22"/>
          <w:lang w:val="pl-PL"/>
        </w:rPr>
        <w:t>modele dobrych praktyk, takie</w:t>
      </w:r>
      <w:r w:rsidR="00E877D9" w:rsidRPr="00094A5B">
        <w:rPr>
          <w:sz w:val="22"/>
          <w:szCs w:val="22"/>
          <w:lang w:val="pl-PL"/>
        </w:rPr>
        <w:t xml:space="preserve"> jak </w:t>
      </w:r>
      <w:proofErr w:type="spellStart"/>
      <w:r w:rsidR="00E877D9" w:rsidRPr="00094A5B">
        <w:rPr>
          <w:sz w:val="22"/>
          <w:szCs w:val="22"/>
          <w:lang w:val="pl-PL"/>
        </w:rPr>
        <w:t>Hertfordshire</w:t>
      </w:r>
      <w:proofErr w:type="spellEnd"/>
      <w:r w:rsidR="00E877D9" w:rsidRPr="00094A5B">
        <w:rPr>
          <w:sz w:val="22"/>
          <w:szCs w:val="22"/>
          <w:lang w:val="pl-PL"/>
        </w:rPr>
        <w:t xml:space="preserve">, rada hrabstwa Devon, </w:t>
      </w:r>
      <w:proofErr w:type="spellStart"/>
      <w:r w:rsidR="00B936B1" w:rsidRPr="00094A5B">
        <w:rPr>
          <w:sz w:val="22"/>
          <w:szCs w:val="22"/>
          <w:lang w:val="pl-PL"/>
        </w:rPr>
        <w:t>Buurtzorg</w:t>
      </w:r>
      <w:proofErr w:type="spellEnd"/>
      <w:r w:rsidR="00B936B1" w:rsidRPr="00094A5B">
        <w:rPr>
          <w:sz w:val="22"/>
          <w:szCs w:val="22"/>
          <w:lang w:val="pl-PL"/>
        </w:rPr>
        <w:t xml:space="preserve"> Model</w:t>
      </w:r>
      <w:r>
        <w:rPr>
          <w:sz w:val="22"/>
          <w:szCs w:val="22"/>
          <w:lang w:val="pl-PL"/>
        </w:rPr>
        <w:t xml:space="preserve"> (Holandia)</w:t>
      </w:r>
      <w:r w:rsidR="00B936B1" w:rsidRPr="00094A5B">
        <w:rPr>
          <w:sz w:val="22"/>
          <w:szCs w:val="22"/>
          <w:lang w:val="pl-PL"/>
        </w:rPr>
        <w:t xml:space="preserve">. </w:t>
      </w:r>
      <w:r w:rsidR="00C3106E" w:rsidRPr="00C3106E">
        <w:rPr>
          <w:sz w:val="22"/>
          <w:szCs w:val="22"/>
          <w:lang w:val="pl-PL"/>
        </w:rPr>
        <w:t>W latach 2014 – 2016 na terenie łódzkich domów dziennego pobytu</w:t>
      </w:r>
      <w:r w:rsidR="00C3106E">
        <w:rPr>
          <w:sz w:val="22"/>
          <w:szCs w:val="22"/>
          <w:lang w:val="pl-PL"/>
        </w:rPr>
        <w:t xml:space="preserve"> realizowany był Gminny Program </w:t>
      </w:r>
      <w:r w:rsidR="00C3106E" w:rsidRPr="00C3106E">
        <w:rPr>
          <w:sz w:val="22"/>
          <w:szCs w:val="22"/>
          <w:lang w:val="pl-PL"/>
        </w:rPr>
        <w:t>Przeciwdziałania Wykluczeniu Cyfrowemu Seniorów zaplanowany na lata 2014 – 2016, zgodnie z uchwałą Nr LXXXVII/1795/14 Rady Miejskiej w Łodzi.</w:t>
      </w:r>
    </w:p>
    <w:p w:rsidR="00B936B1" w:rsidRPr="00094A5B" w:rsidRDefault="00B936B1" w:rsidP="006A5E23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 xml:space="preserve">Integracja usług zdrowotnych i opiekuńczych ma kluczowe znaczenie i może pomóc w poprawie statusu pracowników opieki, docelowo zapewniając bardziej opłacalne usługi, a w miejscach, gdzie opieka funkcjonuje przede wszystkim w szarej strefie, </w:t>
      </w:r>
      <w:r w:rsidR="00683EDC">
        <w:rPr>
          <w:sz w:val="22"/>
          <w:szCs w:val="22"/>
          <w:lang w:val="pl-PL"/>
        </w:rPr>
        <w:t>zmniejszając</w:t>
      </w:r>
      <w:r w:rsidRPr="00094A5B">
        <w:rPr>
          <w:sz w:val="22"/>
          <w:szCs w:val="22"/>
          <w:lang w:val="pl-PL"/>
        </w:rPr>
        <w:t xml:space="preserve"> prawdopodobieństwo tego typu praktyk. </w:t>
      </w:r>
    </w:p>
    <w:p w:rsidR="007042AC" w:rsidRPr="00094A5B" w:rsidRDefault="00B936B1" w:rsidP="006A5E23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Pracodawcy powinni z</w:t>
      </w:r>
      <w:r w:rsidR="00407421">
        <w:rPr>
          <w:sz w:val="22"/>
          <w:szCs w:val="22"/>
          <w:lang w:val="pl-PL"/>
        </w:rPr>
        <w:t>wrócić uwagę na</w:t>
      </w:r>
      <w:r w:rsidRPr="00094A5B">
        <w:rPr>
          <w:sz w:val="22"/>
          <w:szCs w:val="22"/>
          <w:lang w:val="pl-PL"/>
        </w:rPr>
        <w:t xml:space="preserve"> znaczenie stresu emocjonalnego dla zatrzymania pracowników opieki, gdyż obecnie </w:t>
      </w:r>
      <w:r w:rsidR="007042AC" w:rsidRPr="00094A5B">
        <w:rPr>
          <w:sz w:val="22"/>
          <w:szCs w:val="22"/>
          <w:lang w:val="pl-PL"/>
        </w:rPr>
        <w:t xml:space="preserve">roczny wskaźnik rotacji personelu wynosi </w:t>
      </w:r>
      <w:r w:rsidRPr="00094A5B">
        <w:rPr>
          <w:sz w:val="22"/>
          <w:szCs w:val="22"/>
          <w:lang w:val="pl-PL"/>
        </w:rPr>
        <w:t>20-25%</w:t>
      </w:r>
      <w:r w:rsidR="007042AC" w:rsidRPr="00094A5B">
        <w:rPr>
          <w:sz w:val="22"/>
          <w:szCs w:val="22"/>
          <w:lang w:val="pl-PL"/>
        </w:rPr>
        <w:t xml:space="preserve">. </w:t>
      </w:r>
    </w:p>
    <w:p w:rsidR="00B936B1" w:rsidRPr="00094A5B" w:rsidRDefault="007042AC" w:rsidP="006A5E23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  <w:lang w:val="pl-PL"/>
        </w:rPr>
      </w:pPr>
      <w:r w:rsidRPr="00094A5B">
        <w:rPr>
          <w:sz w:val="22"/>
          <w:szCs w:val="22"/>
          <w:lang w:val="pl-PL"/>
        </w:rPr>
        <w:t>Choć fi</w:t>
      </w:r>
      <w:r w:rsidR="00B3440F" w:rsidRPr="00094A5B">
        <w:rPr>
          <w:sz w:val="22"/>
          <w:szCs w:val="22"/>
          <w:lang w:val="pl-PL"/>
        </w:rPr>
        <w:t xml:space="preserve">nansowanie nie leży w gestii Helpcare, oczywistym jest, że opieka jest </w:t>
      </w:r>
      <w:r w:rsidR="00050426">
        <w:rPr>
          <w:sz w:val="22"/>
          <w:szCs w:val="22"/>
          <w:lang w:val="pl-PL"/>
        </w:rPr>
        <w:t>chronicznie</w:t>
      </w:r>
      <w:r w:rsidR="00B3440F" w:rsidRPr="00094A5B">
        <w:rPr>
          <w:sz w:val="22"/>
          <w:szCs w:val="22"/>
          <w:lang w:val="pl-PL"/>
        </w:rPr>
        <w:t xml:space="preserve"> niedofinansowana</w:t>
      </w:r>
      <w:r w:rsidR="007B1B0C" w:rsidRPr="00094A5B">
        <w:rPr>
          <w:sz w:val="22"/>
          <w:szCs w:val="22"/>
          <w:lang w:val="pl-PL"/>
        </w:rPr>
        <w:t xml:space="preserve">, a braki w </w:t>
      </w:r>
      <w:r w:rsidR="003200A4">
        <w:rPr>
          <w:sz w:val="22"/>
          <w:szCs w:val="22"/>
          <w:lang w:val="pl-PL"/>
        </w:rPr>
        <w:t>tym zakresie</w:t>
      </w:r>
      <w:r w:rsidR="007B1B0C" w:rsidRPr="00094A5B">
        <w:rPr>
          <w:sz w:val="22"/>
          <w:szCs w:val="22"/>
          <w:lang w:val="pl-PL"/>
        </w:rPr>
        <w:t xml:space="preserve"> </w:t>
      </w:r>
      <w:r w:rsidR="004E5DCA" w:rsidRPr="00094A5B">
        <w:rPr>
          <w:sz w:val="22"/>
          <w:szCs w:val="22"/>
          <w:lang w:val="pl-PL"/>
        </w:rPr>
        <w:t>leżą u podstaw wielu problemów z</w:t>
      </w:r>
      <w:r w:rsidR="00C131D6" w:rsidRPr="00094A5B">
        <w:rPr>
          <w:sz w:val="22"/>
          <w:szCs w:val="22"/>
          <w:lang w:val="pl-PL"/>
        </w:rPr>
        <w:t>e zlecaniem opieki, rekrutacją i utrzymaniem pracowników, jak również ich szkoleniem i rozwojem.</w:t>
      </w:r>
      <w:r w:rsidR="004D56D7" w:rsidRPr="00094A5B">
        <w:rPr>
          <w:sz w:val="22"/>
          <w:szCs w:val="22"/>
          <w:lang w:val="pl-PL"/>
        </w:rPr>
        <w:t xml:space="preserve"> Zalecamy wszystkim krajom UE utworzenie </w:t>
      </w:r>
      <w:r w:rsidR="00DC471B" w:rsidRPr="00094A5B">
        <w:rPr>
          <w:sz w:val="22"/>
          <w:szCs w:val="22"/>
          <w:lang w:val="pl-PL"/>
        </w:rPr>
        <w:t xml:space="preserve">grup roboczych zajmujących się opieką, których zadaniem będzie rozważenie tej istotnej kwestii i opracowanie szczegółowych </w:t>
      </w:r>
      <w:r w:rsidR="00845290">
        <w:rPr>
          <w:sz w:val="22"/>
          <w:szCs w:val="22"/>
          <w:lang w:val="pl-PL"/>
        </w:rPr>
        <w:t>rekomendacji</w:t>
      </w:r>
      <w:r w:rsidR="00DC471B" w:rsidRPr="00094A5B">
        <w:rPr>
          <w:sz w:val="22"/>
          <w:szCs w:val="22"/>
          <w:lang w:val="pl-PL"/>
        </w:rPr>
        <w:t>.</w:t>
      </w:r>
    </w:p>
    <w:p w:rsidR="000A5764" w:rsidRPr="00094A5B" w:rsidRDefault="005A165A" w:rsidP="000A5764">
      <w:pPr>
        <w:pStyle w:val="Nagwek1"/>
        <w:rPr>
          <w:rFonts w:asciiTheme="minorHAnsi" w:hAnsiTheme="minorHAnsi"/>
          <w:sz w:val="22"/>
          <w:szCs w:val="22"/>
          <w:lang w:val="pl-PL"/>
        </w:rPr>
      </w:pPr>
      <w:r w:rsidRPr="00094A5B">
        <w:rPr>
          <w:rFonts w:asciiTheme="minorHAnsi" w:hAnsiTheme="minorHAnsi"/>
          <w:sz w:val="22"/>
          <w:szCs w:val="22"/>
          <w:lang w:val="pl-PL"/>
        </w:rPr>
        <w:t>Dalsze informacje</w:t>
      </w:r>
      <w:r w:rsidR="000A5764" w:rsidRPr="00094A5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07C3B">
        <w:rPr>
          <w:rFonts w:asciiTheme="minorHAnsi" w:hAnsiTheme="minorHAnsi"/>
          <w:sz w:val="22"/>
          <w:szCs w:val="22"/>
          <w:lang w:val="pl-PL"/>
        </w:rPr>
        <w:t>/ zespół projektowy</w:t>
      </w:r>
    </w:p>
    <w:p w:rsidR="005A165A" w:rsidRDefault="00807C3B" w:rsidP="00FB5334">
      <w:pPr>
        <w:jc w:val="both"/>
        <w:rPr>
          <w:lang w:val="pl-PL"/>
        </w:rPr>
      </w:pPr>
      <w:r w:rsidRPr="00807C3B">
        <w:rPr>
          <w:lang w:val="pl-PL"/>
        </w:rPr>
        <w:t xml:space="preserve">prof. </w:t>
      </w:r>
      <w:proofErr w:type="spellStart"/>
      <w:r w:rsidRPr="00807C3B">
        <w:rPr>
          <w:lang w:val="pl-PL"/>
        </w:rPr>
        <w:t>nadzw</w:t>
      </w:r>
      <w:proofErr w:type="spellEnd"/>
      <w:r w:rsidRPr="00807C3B">
        <w:rPr>
          <w:lang w:val="pl-PL"/>
        </w:rPr>
        <w:t>. dr hab. Ilona Świątek-Barylska</w:t>
      </w:r>
      <w:r>
        <w:rPr>
          <w:lang w:val="pl-PL"/>
        </w:rPr>
        <w:t xml:space="preserve"> (</w:t>
      </w:r>
      <w:r w:rsidRPr="00807C3B">
        <w:rPr>
          <w:lang w:val="pl-PL"/>
        </w:rPr>
        <w:t>swiatek328@gmail.com</w:t>
      </w:r>
      <w:r>
        <w:rPr>
          <w:lang w:val="pl-PL"/>
        </w:rPr>
        <w:t>)</w:t>
      </w:r>
    </w:p>
    <w:p w:rsidR="00807C3B" w:rsidRDefault="00807C3B" w:rsidP="00FB5334">
      <w:pPr>
        <w:jc w:val="both"/>
        <w:rPr>
          <w:lang w:val="pl-PL"/>
        </w:rPr>
      </w:pPr>
      <w:r w:rsidRPr="00807C3B">
        <w:rPr>
          <w:lang w:val="pl-PL"/>
        </w:rPr>
        <w:t>dr Katarzyna Januszkiewicz</w:t>
      </w:r>
      <w:r>
        <w:rPr>
          <w:lang w:val="pl-PL"/>
        </w:rPr>
        <w:t xml:space="preserve"> (</w:t>
      </w:r>
      <w:r w:rsidRPr="00807C3B">
        <w:rPr>
          <w:lang w:val="pl-PL"/>
        </w:rPr>
        <w:t>katarzynaj@uni.lodz.pl</w:t>
      </w:r>
      <w:r>
        <w:rPr>
          <w:lang w:val="pl-PL"/>
        </w:rPr>
        <w:t>)</w:t>
      </w:r>
    </w:p>
    <w:p w:rsidR="00807C3B" w:rsidRPr="00094A5B" w:rsidRDefault="00807C3B" w:rsidP="00FB5334">
      <w:pPr>
        <w:jc w:val="both"/>
        <w:rPr>
          <w:lang w:val="pl-PL"/>
        </w:rPr>
      </w:pPr>
      <w:r w:rsidRPr="00807C3B">
        <w:rPr>
          <w:lang w:val="pl-PL"/>
        </w:rPr>
        <w:t>dr Izabela Bednarska-Wnuk</w:t>
      </w:r>
      <w:r>
        <w:rPr>
          <w:lang w:val="pl-PL"/>
        </w:rPr>
        <w:t xml:space="preserve"> (</w:t>
      </w:r>
      <w:r w:rsidRPr="00807C3B">
        <w:rPr>
          <w:lang w:val="pl-PL"/>
        </w:rPr>
        <w:t>iwnuk@uni.lodz.pl</w:t>
      </w:r>
      <w:r>
        <w:rPr>
          <w:lang w:val="pl-PL"/>
        </w:rPr>
        <w:t>)</w:t>
      </w:r>
    </w:p>
    <w:p w:rsidR="00807C3B" w:rsidRDefault="00807C3B" w:rsidP="00FB5334">
      <w:pPr>
        <w:jc w:val="both"/>
        <w:rPr>
          <w:lang w:val="pl-PL"/>
        </w:rPr>
      </w:pPr>
      <w:bookmarkStart w:id="0" w:name="_GoBack"/>
      <w:bookmarkEnd w:id="0"/>
    </w:p>
    <w:p w:rsidR="000A2E82" w:rsidRPr="00094A5B" w:rsidRDefault="005A165A" w:rsidP="00FB5334">
      <w:pPr>
        <w:jc w:val="both"/>
        <w:rPr>
          <w:lang w:val="pl-PL"/>
        </w:rPr>
      </w:pPr>
      <w:r w:rsidRPr="00094A5B">
        <w:rPr>
          <w:lang w:val="pl-PL"/>
        </w:rPr>
        <w:t xml:space="preserve">Strona projektu: </w:t>
      </w:r>
      <w:r w:rsidR="001F00F9" w:rsidRPr="00094A5B">
        <w:rPr>
          <w:lang w:val="pl-PL"/>
        </w:rPr>
        <w:t>www.helpcare-project</w:t>
      </w:r>
      <w:r w:rsidR="000A2E82" w:rsidRPr="00094A5B">
        <w:rPr>
          <w:lang w:val="pl-PL"/>
        </w:rPr>
        <w:t>.or</w:t>
      </w:r>
      <w:r w:rsidR="00FB5334" w:rsidRPr="00094A5B">
        <w:rPr>
          <w:lang w:val="pl-PL"/>
        </w:rPr>
        <w:t>g</w:t>
      </w:r>
    </w:p>
    <w:sectPr w:rsidR="000A2E82" w:rsidRPr="00094A5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9" w:rsidRDefault="00412959" w:rsidP="000A2E82">
      <w:pPr>
        <w:spacing w:after="0" w:line="240" w:lineRule="auto"/>
      </w:pPr>
      <w:r>
        <w:separator/>
      </w:r>
    </w:p>
  </w:endnote>
  <w:endnote w:type="continuationSeparator" w:id="0">
    <w:p w:rsidR="00412959" w:rsidRDefault="00412959" w:rsidP="000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82" w:rsidRPr="00336E52" w:rsidRDefault="002A7A33" w:rsidP="00AD46A6">
    <w:pPr>
      <w:pStyle w:val="Stopka"/>
      <w:jc w:val="both"/>
      <w:rPr>
        <w:sz w:val="16"/>
        <w:szCs w:val="16"/>
        <w:lang w:val="pl-PL"/>
      </w:rPr>
    </w:pPr>
    <w:r w:rsidRPr="002A7A33">
      <w:rPr>
        <w:i/>
        <w:iCs/>
        <w:sz w:val="16"/>
        <w:szCs w:val="16"/>
        <w:lang w:val="pl-PL"/>
      </w:rPr>
      <w:t xml:space="preserve">Wsparcie Programu </w:t>
    </w:r>
    <w:r>
      <w:rPr>
        <w:i/>
        <w:iCs/>
        <w:sz w:val="16"/>
        <w:szCs w:val="16"/>
        <w:lang w:val="pl-PL"/>
      </w:rPr>
      <w:t xml:space="preserve">„Uczenie się przez całe życie” Unii Europejskiej. </w:t>
    </w:r>
    <w:r w:rsidRPr="00336E52">
      <w:rPr>
        <w:i/>
        <w:iCs/>
        <w:sz w:val="16"/>
        <w:szCs w:val="16"/>
        <w:lang w:val="pl-PL"/>
      </w:rPr>
      <w:t xml:space="preserve">Niniejszy projekt </w:t>
    </w:r>
    <w:r w:rsidR="00AB0726">
      <w:rPr>
        <w:i/>
        <w:iCs/>
        <w:sz w:val="16"/>
        <w:szCs w:val="16"/>
        <w:lang w:val="pl-PL"/>
      </w:rPr>
      <w:t>został sfinansowany</w:t>
    </w:r>
    <w:r w:rsidRPr="00336E52">
      <w:rPr>
        <w:i/>
        <w:iCs/>
        <w:sz w:val="16"/>
        <w:szCs w:val="16"/>
        <w:lang w:val="pl-PL"/>
      </w:rPr>
      <w:t xml:space="preserve"> przy wsparciu </w:t>
    </w:r>
    <w:r w:rsidR="00336E52" w:rsidRPr="00336E52">
      <w:rPr>
        <w:i/>
        <w:iCs/>
        <w:sz w:val="16"/>
        <w:szCs w:val="16"/>
        <w:lang w:val="pl-PL"/>
      </w:rPr>
      <w:t xml:space="preserve">Komisji Europejskiej. Niniejsza publikacja odzwierciedla wyłącznie poglądy swojego autora i </w:t>
    </w:r>
    <w:r w:rsidR="00336E52">
      <w:rPr>
        <w:i/>
        <w:iCs/>
        <w:sz w:val="16"/>
        <w:szCs w:val="16"/>
        <w:lang w:val="pl-PL"/>
      </w:rPr>
      <w:t>Komisja nie ponosi żadnej odpowiedzialności za sposób, w jaki mogą zostać wykorzystane zawarte w niej informacje.</w:t>
    </w:r>
    <w:r w:rsidR="000A2E82" w:rsidRPr="00336E52">
      <w:rPr>
        <w:b/>
        <w:bCs/>
        <w:i/>
        <w:iCs/>
        <w:sz w:val="16"/>
        <w:szCs w:val="16"/>
        <w:lang w:val="pl-PL"/>
      </w:rPr>
      <w:t xml:space="preserve"> </w:t>
    </w:r>
  </w:p>
  <w:p w:rsidR="000A2E82" w:rsidRPr="00336E52" w:rsidRDefault="000A2E82">
    <w:pPr>
      <w:pStyle w:val="Stopka"/>
      <w:rPr>
        <w:lang w:val="pl-PL"/>
      </w:rPr>
    </w:pPr>
  </w:p>
  <w:p w:rsidR="000A2E82" w:rsidRPr="00336E52" w:rsidRDefault="000A2E8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9" w:rsidRDefault="00412959" w:rsidP="000A2E82">
      <w:pPr>
        <w:spacing w:after="0" w:line="240" w:lineRule="auto"/>
      </w:pPr>
      <w:r>
        <w:separator/>
      </w:r>
    </w:p>
  </w:footnote>
  <w:footnote w:type="continuationSeparator" w:id="0">
    <w:p w:rsidR="00412959" w:rsidRDefault="00412959" w:rsidP="000A2E82">
      <w:pPr>
        <w:spacing w:after="0" w:line="240" w:lineRule="auto"/>
      </w:pPr>
      <w:r>
        <w:continuationSeparator/>
      </w:r>
    </w:p>
  </w:footnote>
  <w:footnote w:id="1">
    <w:p w:rsidR="002E3BF6" w:rsidRPr="00A9739E" w:rsidRDefault="002E3BF6" w:rsidP="004E360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9739E">
        <w:rPr>
          <w:lang w:val="pl-PL"/>
        </w:rPr>
        <w:t xml:space="preserve"> </w:t>
      </w:r>
      <w:r w:rsidR="00A9739E" w:rsidRPr="00A9739E">
        <w:rPr>
          <w:lang w:val="pl-PL"/>
        </w:rPr>
        <w:t xml:space="preserve">Więcej informacji na ten temat można znaleźć </w:t>
      </w:r>
      <w:r w:rsidR="00765397">
        <w:rPr>
          <w:lang w:val="pl-PL"/>
        </w:rPr>
        <w:t>w załączonym dokumencie</w:t>
      </w:r>
      <w:r w:rsidR="00A9739E" w:rsidRPr="00A9739E">
        <w:rPr>
          <w:lang w:val="pl-PL"/>
        </w:rPr>
        <w:t xml:space="preserve"> </w:t>
      </w:r>
      <w:r w:rsidR="003D0671">
        <w:rPr>
          <w:lang w:val="pl-PL"/>
        </w:rPr>
        <w:t>„</w:t>
      </w:r>
      <w:proofErr w:type="spellStart"/>
      <w:r w:rsidR="003D0671">
        <w:rPr>
          <w:lang w:val="pl-PL"/>
        </w:rPr>
        <w:t>Care</w:t>
      </w:r>
      <w:proofErr w:type="spellEnd"/>
      <w:r w:rsidR="003D0671">
        <w:rPr>
          <w:lang w:val="pl-PL"/>
        </w:rPr>
        <w:t xml:space="preserve"> </w:t>
      </w:r>
      <w:proofErr w:type="spellStart"/>
      <w:r w:rsidR="003D0671">
        <w:rPr>
          <w:lang w:val="pl-PL"/>
        </w:rPr>
        <w:t>Work</w:t>
      </w:r>
      <w:proofErr w:type="spellEnd"/>
      <w:r w:rsidR="003D0671">
        <w:rPr>
          <w:lang w:val="pl-PL"/>
        </w:rPr>
        <w:t xml:space="preserve"> </w:t>
      </w:r>
      <w:proofErr w:type="spellStart"/>
      <w:r w:rsidR="003D0671">
        <w:rPr>
          <w:lang w:val="pl-PL"/>
        </w:rPr>
        <w:t>Pathways</w:t>
      </w:r>
      <w:proofErr w:type="spellEnd"/>
      <w:r w:rsidR="003D0671">
        <w:rPr>
          <w:lang w:val="pl-PL"/>
        </w:rPr>
        <w:t xml:space="preserve"> to </w:t>
      </w:r>
      <w:proofErr w:type="spellStart"/>
      <w:r w:rsidR="003D0671">
        <w:rPr>
          <w:lang w:val="pl-PL"/>
        </w:rPr>
        <w:t>Progression</w:t>
      </w:r>
      <w:proofErr w:type="spellEnd"/>
      <w:r w:rsidR="00765397">
        <w:rPr>
          <w:lang w:val="pl-PL"/>
        </w:rPr>
        <w:t xml:space="preserve"> Map</w:t>
      </w:r>
      <w:r w:rsidR="003D0671">
        <w:rPr>
          <w:lang w:val="pl-PL"/>
        </w:rPr>
        <w:t>”</w:t>
      </w:r>
      <w:r w:rsidRPr="00A9739E">
        <w:rPr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82" w:rsidRDefault="001F00F9">
    <w:pPr>
      <w:pStyle w:val="Nagwek"/>
    </w:pPr>
    <w:r>
      <w:rPr>
        <w:noProof/>
        <w:lang w:val="pl-PL" w:eastAsia="pl-PL"/>
      </w:rPr>
      <w:drawing>
        <wp:inline distT="0" distB="0" distL="0" distR="0">
          <wp:extent cx="1530762" cy="753364"/>
          <wp:effectExtent l="0" t="0" r="0" b="8890"/>
          <wp:docPr id="3" name="Picture 3" descr="C:\Users\downsc\Dropbox\HELPCARE\Logos, brochures, posters &amp; EU disclaimer\Logos, photos, brochures, posters &amp; EU disclaimer\HELPCARE logo and HEADERS\HelpCare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c\Dropbox\HELPCARE\Logos, brochures, posters &amp; EU disclaimer\Logos, photos, brochures, posters &amp; EU disclaimer\HELPCARE logo and HEADERS\HelpCare logo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62" cy="75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8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C3047C1" wp14:editId="233D9DEB">
          <wp:simplePos x="0" y="0"/>
          <wp:positionH relativeFrom="margin">
            <wp:posOffset>4555490</wp:posOffset>
          </wp:positionH>
          <wp:positionV relativeFrom="margin">
            <wp:posOffset>-811530</wp:posOffset>
          </wp:positionV>
          <wp:extent cx="1669415" cy="690880"/>
          <wp:effectExtent l="0" t="0" r="6985" b="0"/>
          <wp:wrapSquare wrapText="bothSides"/>
          <wp:docPr id="2" name="Picture 2" descr="C:\Users\downsc\Dropbox\ELIEMENTAL\Project logos and templates\EU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c\Dropbox\ELIEMENTAL\Project logos and templates\EU logo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2E82" w:rsidRDefault="000A2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FF9"/>
    <w:multiLevelType w:val="hybridMultilevel"/>
    <w:tmpl w:val="E88608BA"/>
    <w:lvl w:ilvl="0" w:tplc="37F2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C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4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0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8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8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4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CD7E7F"/>
    <w:multiLevelType w:val="hybridMultilevel"/>
    <w:tmpl w:val="B184937C"/>
    <w:lvl w:ilvl="0" w:tplc="9BAA3B34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891"/>
    <w:multiLevelType w:val="hybridMultilevel"/>
    <w:tmpl w:val="74BCB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0DB9"/>
    <w:multiLevelType w:val="hybridMultilevel"/>
    <w:tmpl w:val="344253C8"/>
    <w:lvl w:ilvl="0" w:tplc="7E70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2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6E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C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2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4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C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0236AA"/>
    <w:multiLevelType w:val="hybridMultilevel"/>
    <w:tmpl w:val="A32AF2B8"/>
    <w:lvl w:ilvl="0" w:tplc="0BDA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EE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A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6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4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CE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6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8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5D"/>
    <w:rsid w:val="000273B8"/>
    <w:rsid w:val="00045BD5"/>
    <w:rsid w:val="00050426"/>
    <w:rsid w:val="00055297"/>
    <w:rsid w:val="0006570B"/>
    <w:rsid w:val="00067895"/>
    <w:rsid w:val="000747D4"/>
    <w:rsid w:val="00085B24"/>
    <w:rsid w:val="00086BB8"/>
    <w:rsid w:val="000923C6"/>
    <w:rsid w:val="00094A5B"/>
    <w:rsid w:val="000A2E82"/>
    <w:rsid w:val="000A5764"/>
    <w:rsid w:val="000C0963"/>
    <w:rsid w:val="000E1020"/>
    <w:rsid w:val="000E1DAE"/>
    <w:rsid w:val="000F391F"/>
    <w:rsid w:val="00120365"/>
    <w:rsid w:val="001255E3"/>
    <w:rsid w:val="00130CA2"/>
    <w:rsid w:val="001324A4"/>
    <w:rsid w:val="0014448F"/>
    <w:rsid w:val="00155132"/>
    <w:rsid w:val="001734DC"/>
    <w:rsid w:val="00184217"/>
    <w:rsid w:val="00196D62"/>
    <w:rsid w:val="001B17B6"/>
    <w:rsid w:val="001B32E9"/>
    <w:rsid w:val="001B3AF5"/>
    <w:rsid w:val="001C4057"/>
    <w:rsid w:val="001D1009"/>
    <w:rsid w:val="001D554F"/>
    <w:rsid w:val="001F00F9"/>
    <w:rsid w:val="001F1FDB"/>
    <w:rsid w:val="00200954"/>
    <w:rsid w:val="00245A94"/>
    <w:rsid w:val="002703D0"/>
    <w:rsid w:val="00281805"/>
    <w:rsid w:val="002A0AAC"/>
    <w:rsid w:val="002A7A33"/>
    <w:rsid w:val="002B75FC"/>
    <w:rsid w:val="002E3019"/>
    <w:rsid w:val="002E3BF6"/>
    <w:rsid w:val="002F565D"/>
    <w:rsid w:val="003041FC"/>
    <w:rsid w:val="003200A4"/>
    <w:rsid w:val="00324D25"/>
    <w:rsid w:val="00330EA5"/>
    <w:rsid w:val="003368D6"/>
    <w:rsid w:val="00336E52"/>
    <w:rsid w:val="00343B61"/>
    <w:rsid w:val="003502AE"/>
    <w:rsid w:val="00373978"/>
    <w:rsid w:val="003747F5"/>
    <w:rsid w:val="003752B6"/>
    <w:rsid w:val="003A1B00"/>
    <w:rsid w:val="003D0671"/>
    <w:rsid w:val="003D269F"/>
    <w:rsid w:val="003D5747"/>
    <w:rsid w:val="003F1206"/>
    <w:rsid w:val="00401B89"/>
    <w:rsid w:val="004039FB"/>
    <w:rsid w:val="00407421"/>
    <w:rsid w:val="00412959"/>
    <w:rsid w:val="00424248"/>
    <w:rsid w:val="004329AE"/>
    <w:rsid w:val="00445F08"/>
    <w:rsid w:val="00452C91"/>
    <w:rsid w:val="00486687"/>
    <w:rsid w:val="004C0105"/>
    <w:rsid w:val="004C0312"/>
    <w:rsid w:val="004C4928"/>
    <w:rsid w:val="004D27E8"/>
    <w:rsid w:val="004D56D7"/>
    <w:rsid w:val="004E3601"/>
    <w:rsid w:val="004E4C8F"/>
    <w:rsid w:val="004E5DCA"/>
    <w:rsid w:val="004E5EA5"/>
    <w:rsid w:val="004F7E01"/>
    <w:rsid w:val="00527969"/>
    <w:rsid w:val="00566F3D"/>
    <w:rsid w:val="00576478"/>
    <w:rsid w:val="005A165A"/>
    <w:rsid w:val="005B5E6D"/>
    <w:rsid w:val="005D68BE"/>
    <w:rsid w:val="0060527B"/>
    <w:rsid w:val="0063103B"/>
    <w:rsid w:val="00674574"/>
    <w:rsid w:val="006821CE"/>
    <w:rsid w:val="0068251C"/>
    <w:rsid w:val="00683EDC"/>
    <w:rsid w:val="00697400"/>
    <w:rsid w:val="006A5E23"/>
    <w:rsid w:val="006F0607"/>
    <w:rsid w:val="006F59CB"/>
    <w:rsid w:val="00704101"/>
    <w:rsid w:val="007042AC"/>
    <w:rsid w:val="0073134D"/>
    <w:rsid w:val="00732443"/>
    <w:rsid w:val="00752CA2"/>
    <w:rsid w:val="0076174E"/>
    <w:rsid w:val="00765397"/>
    <w:rsid w:val="00772628"/>
    <w:rsid w:val="00784251"/>
    <w:rsid w:val="007931F0"/>
    <w:rsid w:val="00797350"/>
    <w:rsid w:val="007A276A"/>
    <w:rsid w:val="007B1B0C"/>
    <w:rsid w:val="007B2E35"/>
    <w:rsid w:val="007C5B28"/>
    <w:rsid w:val="007C7674"/>
    <w:rsid w:val="007D5ECB"/>
    <w:rsid w:val="007E0A8F"/>
    <w:rsid w:val="007E74F2"/>
    <w:rsid w:val="007F767E"/>
    <w:rsid w:val="00807C3B"/>
    <w:rsid w:val="00831498"/>
    <w:rsid w:val="00834DD6"/>
    <w:rsid w:val="00837282"/>
    <w:rsid w:val="00842CC7"/>
    <w:rsid w:val="00845290"/>
    <w:rsid w:val="008525F9"/>
    <w:rsid w:val="00864305"/>
    <w:rsid w:val="00892076"/>
    <w:rsid w:val="008A2B86"/>
    <w:rsid w:val="008D079E"/>
    <w:rsid w:val="008D155B"/>
    <w:rsid w:val="008E06DC"/>
    <w:rsid w:val="008E4AB9"/>
    <w:rsid w:val="008E4DC0"/>
    <w:rsid w:val="008F54BF"/>
    <w:rsid w:val="00900ED5"/>
    <w:rsid w:val="00962AD8"/>
    <w:rsid w:val="00964266"/>
    <w:rsid w:val="0096576B"/>
    <w:rsid w:val="0097015C"/>
    <w:rsid w:val="009751A0"/>
    <w:rsid w:val="00983519"/>
    <w:rsid w:val="00987CCD"/>
    <w:rsid w:val="009961C2"/>
    <w:rsid w:val="009B29DC"/>
    <w:rsid w:val="009D1A71"/>
    <w:rsid w:val="009F209C"/>
    <w:rsid w:val="00A004EE"/>
    <w:rsid w:val="00A11AD2"/>
    <w:rsid w:val="00A13C48"/>
    <w:rsid w:val="00A30C78"/>
    <w:rsid w:val="00A517BD"/>
    <w:rsid w:val="00A720F4"/>
    <w:rsid w:val="00A74316"/>
    <w:rsid w:val="00A80AA0"/>
    <w:rsid w:val="00A814A3"/>
    <w:rsid w:val="00A86CCD"/>
    <w:rsid w:val="00A9739E"/>
    <w:rsid w:val="00AA7510"/>
    <w:rsid w:val="00AB0726"/>
    <w:rsid w:val="00AB0C3B"/>
    <w:rsid w:val="00AB2A11"/>
    <w:rsid w:val="00AD46A6"/>
    <w:rsid w:val="00AF182D"/>
    <w:rsid w:val="00AF71AC"/>
    <w:rsid w:val="00B3440F"/>
    <w:rsid w:val="00B410CA"/>
    <w:rsid w:val="00B46F13"/>
    <w:rsid w:val="00B5095F"/>
    <w:rsid w:val="00B5436D"/>
    <w:rsid w:val="00B936B1"/>
    <w:rsid w:val="00B96BBD"/>
    <w:rsid w:val="00BB1213"/>
    <w:rsid w:val="00BB275A"/>
    <w:rsid w:val="00BC14D9"/>
    <w:rsid w:val="00BE01D3"/>
    <w:rsid w:val="00C0200B"/>
    <w:rsid w:val="00C021DD"/>
    <w:rsid w:val="00C065C6"/>
    <w:rsid w:val="00C131D6"/>
    <w:rsid w:val="00C211AE"/>
    <w:rsid w:val="00C3106E"/>
    <w:rsid w:val="00C3476C"/>
    <w:rsid w:val="00C412B3"/>
    <w:rsid w:val="00C460A0"/>
    <w:rsid w:val="00C510CC"/>
    <w:rsid w:val="00C750A4"/>
    <w:rsid w:val="00C76907"/>
    <w:rsid w:val="00C83948"/>
    <w:rsid w:val="00CA7D86"/>
    <w:rsid w:val="00CB1EF6"/>
    <w:rsid w:val="00CC34B4"/>
    <w:rsid w:val="00CD23A3"/>
    <w:rsid w:val="00CF44A6"/>
    <w:rsid w:val="00D11E4A"/>
    <w:rsid w:val="00D44693"/>
    <w:rsid w:val="00D51E42"/>
    <w:rsid w:val="00D8216E"/>
    <w:rsid w:val="00D90D7E"/>
    <w:rsid w:val="00DA213F"/>
    <w:rsid w:val="00DB3872"/>
    <w:rsid w:val="00DC471B"/>
    <w:rsid w:val="00DC4A1E"/>
    <w:rsid w:val="00DE203C"/>
    <w:rsid w:val="00DE77D7"/>
    <w:rsid w:val="00DF36E0"/>
    <w:rsid w:val="00E01778"/>
    <w:rsid w:val="00E06AD7"/>
    <w:rsid w:val="00E222AE"/>
    <w:rsid w:val="00E23CEF"/>
    <w:rsid w:val="00E3211B"/>
    <w:rsid w:val="00E335F5"/>
    <w:rsid w:val="00E4072D"/>
    <w:rsid w:val="00E64A61"/>
    <w:rsid w:val="00E877D9"/>
    <w:rsid w:val="00E973C1"/>
    <w:rsid w:val="00EA4B72"/>
    <w:rsid w:val="00EB2919"/>
    <w:rsid w:val="00EC09DA"/>
    <w:rsid w:val="00EC4BCC"/>
    <w:rsid w:val="00ED435E"/>
    <w:rsid w:val="00EF5C72"/>
    <w:rsid w:val="00F15997"/>
    <w:rsid w:val="00F31DA2"/>
    <w:rsid w:val="00F34B42"/>
    <w:rsid w:val="00F37200"/>
    <w:rsid w:val="00F3725F"/>
    <w:rsid w:val="00F405F0"/>
    <w:rsid w:val="00F44276"/>
    <w:rsid w:val="00F44F92"/>
    <w:rsid w:val="00F54AB0"/>
    <w:rsid w:val="00F5631F"/>
    <w:rsid w:val="00F62D8E"/>
    <w:rsid w:val="00F66061"/>
    <w:rsid w:val="00F70ACD"/>
    <w:rsid w:val="00F8678C"/>
    <w:rsid w:val="00F92D23"/>
    <w:rsid w:val="00F94578"/>
    <w:rsid w:val="00FB2510"/>
    <w:rsid w:val="00FB5334"/>
    <w:rsid w:val="00FC6175"/>
    <w:rsid w:val="00FE1425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6ACA"/>
  <w15:docId w15:val="{9B126F36-DFCB-4DF4-8BBB-FF511160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5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5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F5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7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2"/>
  </w:style>
  <w:style w:type="paragraph" w:styleId="Stopka">
    <w:name w:val="footer"/>
    <w:basedOn w:val="Normalny"/>
    <w:link w:val="StopkaZnak"/>
    <w:uiPriority w:val="99"/>
    <w:unhideWhenUsed/>
    <w:rsid w:val="000A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2"/>
  </w:style>
  <w:style w:type="paragraph" w:styleId="NormalnyWeb">
    <w:name w:val="Normal (Web)"/>
    <w:basedOn w:val="Normalny"/>
    <w:uiPriority w:val="99"/>
    <w:semiHidden/>
    <w:unhideWhenUsed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30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DFB757-1302-4588-8AFE-F8E72B2C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Carolyn</dc:creator>
  <cp:lastModifiedBy>Bartek Kalinowski</cp:lastModifiedBy>
  <cp:revision>2</cp:revision>
  <dcterms:created xsi:type="dcterms:W3CDTF">2017-05-04T13:04:00Z</dcterms:created>
  <dcterms:modified xsi:type="dcterms:W3CDTF">2017-05-04T13:04:00Z</dcterms:modified>
</cp:coreProperties>
</file>